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210" w:lineRule="atLeast"/>
        <w:ind w:left="0" w:right="0" w:firstLine="0"/>
        <w:textAlignment w:val="baseline"/>
        <w:rPr>
          <w:rFonts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Linhas de Pesquisa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200" w:right="0" w:hanging="360"/>
        <w:textAlignment w:val="baseline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</w:t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  <w:t>História Social do Trabalho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80" w:afterAutospacing="0" w:line="210" w:lineRule="atLeast"/>
        <w:ind w:left="0" w:right="0"/>
        <w:jc w:val="both"/>
        <w:textAlignment w:val="baseline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Esta linha tem como escopo as experiências dos trabalhadores, vividas em diferentes contextos econômicos, políticos, sociais e culturais. Nesse sentido, analisa temas como: relações de classe, movimentos sociais no campo e na cidade, trajetórias individuais (biografias), migrações, vivências familiares e afetivas, lazer e sociabilidades comunitárias e identidades de classe, gênero ou “raça”. Para tanto, </w:t>
      </w:r>
      <w:r>
        <w:rPr>
          <w:rFonts w:hint="default" w:ascii="Arial" w:hAnsi="Arial" w:cs="Arial"/>
          <w:i w:val="0"/>
          <w:iCs w:val="0"/>
          <w:color w:val="000000"/>
          <w:spacing w:val="0"/>
          <w:sz w:val="24"/>
          <w:szCs w:val="24"/>
          <w:shd w:val="clear" w:fill="FFFFFF"/>
          <w:vertAlign w:val="baseline"/>
          <w:lang w:val="pt-BR"/>
        </w:rPr>
        <w:t>corteja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 e analisa fontes variadas: cartas, jornais, censos, iconografias, entrevistas, processos judiciais, entre outras. Considera importante, também, as abordagens que superem as tradicionais dicotomias do discurso historiográfico, do tipo: “trabalho livre e escravo”, “rural e urbano”, “nacional e global”.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  <w:t>Compõem essa linha os seguintes docentes:</w:t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 prof. Dr. Adalberto Paz, profa. Dra. Carmentilla das Chagas Martins, </w:t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profa. Dra.</w:t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pt-BR"/>
        </w:rPr>
        <w:t xml:space="preserve"> Elke Daniela </w:t>
      </w:r>
      <w:bookmarkStart w:id="0" w:name="_GoBack"/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pt-BR"/>
        </w:rPr>
        <w:t>R</w:t>
      </w:r>
      <w:bookmarkEnd w:id="0"/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pt-BR"/>
        </w:rPr>
        <w:t>ocha Nunes</w:t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pt-BR"/>
        </w:rPr>
        <w:t xml:space="preserve">, </w:t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profa. Dra. Lara de Castro, profa. Dra. Júlia Monnerat Barbosa, prof. Dr. Paulo Marcelo Cambraia da Costa, prof. Dr. Sidney da Silva Lobato.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200" w:right="0" w:hanging="360"/>
        <w:textAlignment w:val="baseline"/>
        <w:rPr>
          <w:rFonts w:hint="default" w:ascii="Arial" w:hAnsi="Arial" w:cs="Arial"/>
          <w:sz w:val="24"/>
          <w:szCs w:val="24"/>
        </w:rPr>
      </w:pP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  <w:t>Política, instituições e Relações de Poder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80" w:afterAutospacing="0" w:line="210" w:lineRule="atLeast"/>
        <w:ind w:left="0" w:right="0"/>
        <w:jc w:val="both"/>
        <w:textAlignment w:val="baseline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Muitos estudos têm analisado as tensões entre os diferentes padrões de relação entre Estado, poder e sociedade na história regional, nacional e internacional. As substituições ou competições de padrões hegemônicos, e seus respectivos desafiantes diante da ordem estabelecida, ensejaram amplos debates historiográficos, com franco aporte teórico de áreas correlatas do conhecimento nas Humanidades, como a Ciência Política, a Teoria dos Partidos e dos Movimentos Sociais, bem como a Filosofia, a Economia, a Sociologia e a Antropologia, por exemplo. Indubitavelmente, consideramos que as Instituições, em função do seu caráter valorativo, estabilizador e modelar diante da sociedade, são objeto e recorrência de estudos teóricos ou narrativos, na medida em que acondicionam o comportamento de indivíduos ou grupos dentro de uma comunidade definida e, de forma relativa, na sua finalidade social, transcendendo as intenções e os indivíduos através da mediação ou opressão vis-à-vis a governança e suas regras. Alinha-se também essa linha à Nova História Política, que estuda o poder como campo de representação social e exercício de dominação/controle por diferentes tipos de autoridades (estatais e da sociedade civil), em seus diferentes níveis, desde aquele das relações internacionais aos micro poderes da vida cotidiana. Os projetos que integram a linha de pesquisa refletem, ainda, o debate entre a História Política e a História do Político, contemplando abordagens que privilegiam a Política no âmbito das instituições, bem como aquelas que se centram mais no Político, ou seja, nas dinâmicas sociais e culturais que permitem interpretar a ação política, e nos modelos, formas e pensamentos que constituem seus referenciais. Este eixo tem como propósito também discutir ou incentivar a discussão sobre as principais transformações políticas na Amazônia, mantendo atenção para as alterações na esfera estatal, local ou regional, urbi et orbi. Por exemplo o direito, a justiça, a guerra, a paz, a arte, a religião são exemplos de objetos de estudo importantes na medida em que permitem entender experiências históricas resultantes do exercício do poder político e social.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  <w:t>Compõem essa linha os seguintes docentes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: </w:t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profa. Dra. Carmentilla das Chagas Martins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, </w:t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prof. Dr. Daniel Chaves, prof. Dr. Dorival da Costa dos Santos, profa. Dra. Maura Leal da Silva.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200" w:right="0" w:hanging="360"/>
        <w:textAlignment w:val="baseline"/>
        <w:rPr>
          <w:rFonts w:hint="default" w:ascii="Arial" w:hAnsi="Arial" w:cs="Arial"/>
          <w:sz w:val="24"/>
          <w:szCs w:val="24"/>
        </w:rPr>
      </w:pP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  <w:t>Ensino de História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80" w:afterAutospacing="0" w:line="210" w:lineRule="atLeast"/>
        <w:ind w:left="0" w:right="0"/>
        <w:jc w:val="both"/>
        <w:textAlignment w:val="baseline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A recente ampliação dos objetos da pesquisa histórica lançou novos desafios aos jovens historiadores, incluindo nesse sentido a pesquisa relacionda ao ensino da história. Esta mudança qualitativa do conhecimento histórico exigiu a formulação de novas metodologias, inclusive para o ensino de história, haja vista  que na atual sociedade globalizada (sociedade da informação), o ensino de história é redimensionado.   Este eixo visa à familiarização do aluno com estas inovações, inserindo-o na experiência instigante das escolhas metodológicas para uma melhor atuação em sala de aula.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  <w:t>Compõem essa linha os seguintes docentes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: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pt-BR"/>
        </w:rPr>
        <w:t xml:space="preserve"> </w:t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profa. Dra. Cecília Maria Chaves Brito Bastos, </w:t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prof. Dr. Giovani José da Silva, prof. Dr. Andrius Noronha, prof. Dr. Edinaldo Pinheiro Nunes Filho,  profa. </w:t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pt-BR"/>
        </w:rPr>
        <w:t>Dra</w:t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. Iza  Vanessa P. de Freitas Guimarães,  profa. Dra. Julia Monnerat Barbosa, profa. Dra. Lara de Castro, </w:t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profa. Dra. Maura Leal da Silva</w:t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pt-BR"/>
        </w:rPr>
        <w:t xml:space="preserve">, </w:t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profa. Dra. Simone Garcia Almeida.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200" w:right="0" w:hanging="360"/>
        <w:textAlignment w:val="baseline"/>
        <w:rPr>
          <w:rFonts w:hint="default" w:ascii="Arial" w:hAnsi="Arial" w:cs="Arial"/>
          <w:sz w:val="24"/>
          <w:szCs w:val="24"/>
        </w:rPr>
      </w:pP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  <w:t>Etnicidade e representações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80" w:afterAutospacing="0" w:line="210" w:lineRule="atLeast"/>
        <w:ind w:left="0" w:right="0"/>
        <w:jc w:val="both"/>
        <w:textAlignment w:val="baseline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Tendo em vista que a sociedade amazônica é claramente pluriétinica, estudar a etnicidade consiste, em inventariar o repertório das identidades  disponíveis e representações construídas em uma situação pluriétnica dada e descrever o campo de ação dessas identidades nas diversas situações de contato. A análise situacional da etnicidade liga-se ao estudo da produção e da utilização das marcas, por meio das quais os membros das sociedades pluriétnicas identificam-se e diferenciam-se, e ao estudo das escolhas táticas e dos estratagemas que acionam para se safarem do jogo das relações étnicas.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  <w:t>Compõem essa linha os seguintes docentes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: </w:t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profa. </w:t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pt-BR"/>
        </w:rPr>
        <w:t>Dra</w:t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. Irislane Pereira Morais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,</w:t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 prof. Dr. Giovani José da Silva,  profa. Ms. Mariana de Araújo Gonçalves, profa. </w:t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pt-BR"/>
        </w:rPr>
        <w:t>Dra</w:t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. Meire Adriana da Silva,  profa. Dra. Simone Garcia Almeida.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200" w:right="0" w:hanging="360"/>
        <w:textAlignment w:val="baseline"/>
        <w:rPr>
          <w:rFonts w:hint="default" w:ascii="Arial" w:hAnsi="Arial" w:cs="Arial"/>
          <w:sz w:val="24"/>
          <w:szCs w:val="24"/>
        </w:rPr>
      </w:pP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  <w:t>Educação, patrimônio, ambiente e identidade cultura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80" w:afterAutospacing="0" w:line="210" w:lineRule="atLeast"/>
        <w:ind w:left="0" w:right="0"/>
        <w:jc w:val="both"/>
        <w:textAlignment w:val="baseline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Esta linha congrega discussões que buscam refletir as interfaces estabelecidas entre educação, patrimônio, ambiente e identidades nas diversas temporalidades e espacialidades, em especial na Amazônia. Concentram-se nessa linha, temáticas distintas relacionadas as memórias, as representações, as manifestações e as identidades dos patrimônios cultural, arqueológico e ambiental no contexto das práticas educativas e das narrativas históricas, a fim de contribuir com a abordagem e a inserção dos referidos temas no contexto escolar, mediadas pela Educação Patrimonial e pela Educação Ambiental, com foco na formação de professores. Conjugadas as temáticas pesquisadas são partilhados, re-elaborados e problematizados conceitos como: Interdisciplinaridade, Transdisciplinaridade, Educação, História, Arqueologia, Ambiente, Antropologia, Etnologia, Etnografia, Identidade, Cultural, Memória, Documento, Pertencimento e Cultura Material.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  <w:t>Compõem essa linha os seguintes docentes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: </w:t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profa. Dra. Cecília Maria Chaves Brito Bastos, prof. Dr. Dorival da Costa dos Santos, prof. Dr. Edinaldo Pinheiro Nunes Filho, profa. </w:t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pt-BR"/>
        </w:rPr>
        <w:t>Dra</w:t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. Irislane Pereira Morais, profa. </w:t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pt-BR"/>
        </w:rPr>
        <w:t>Dra</w:t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. Iza Vanessa Pedroso de Freitas Guimarães</w:t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pt-BR"/>
        </w:rPr>
        <w:t>, profa. Dra. Verônica Xavier Luna</w:t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.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Technic">
    <w:panose1 w:val="000004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02668C"/>
    <w:multiLevelType w:val="multilevel"/>
    <w:tmpl w:val="8802668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99505130"/>
    <w:multiLevelType w:val="multilevel"/>
    <w:tmpl w:val="9950513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0DE072B6"/>
    <w:multiLevelType w:val="multilevel"/>
    <w:tmpl w:val="0DE072B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1BEA1AB0"/>
    <w:multiLevelType w:val="multilevel"/>
    <w:tmpl w:val="1BEA1AB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267E6E38"/>
    <w:multiLevelType w:val="multilevel"/>
    <w:tmpl w:val="267E6E3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F0423"/>
    <w:rsid w:val="0AC212F1"/>
    <w:rsid w:val="0BCB11E2"/>
    <w:rsid w:val="4D7B2B00"/>
    <w:rsid w:val="757D3D79"/>
    <w:rsid w:val="77A80E52"/>
    <w:rsid w:val="7EDF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2021-06-09T17:47:00Z</dcterms:created>
  <dc:creator>User</dc:creator>
  <cp:lastModifiedBy>User</cp:lastModifiedBy>
  <dcterms:modified xsi:type="dcterms:W3CDTF">2021-06-09T22:33:50Z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1046-11.2.0.10152</vt:lpwstr>
  </property>
</Properties>
</file>