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17B" w:rsidRDefault="001F517B" w:rsidP="001F517B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-80645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1F517B" w:rsidRDefault="001F517B" w:rsidP="001F517B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1F517B" w:rsidRDefault="001F517B" w:rsidP="001F517B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1F517B" w:rsidRDefault="001F517B" w:rsidP="001F517B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1F517B" w:rsidRDefault="001F517B" w:rsidP="001F517B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1F517B" w:rsidRDefault="001F517B" w:rsidP="001F517B">
      <w:pPr>
        <w:jc w:val="center"/>
      </w:pPr>
    </w:p>
    <w:p w:rsidR="001F517B" w:rsidRDefault="001F517B"/>
    <w:tbl>
      <w:tblPr>
        <w:tblW w:w="8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6337"/>
      </w:tblGrid>
      <w:tr w:rsidR="00242C07" w:rsidRPr="009E38C5" w:rsidTr="00AB377E">
        <w:trPr>
          <w:cantSplit/>
        </w:trPr>
        <w:tc>
          <w:tcPr>
            <w:tcW w:w="889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42C07" w:rsidRPr="009E38C5" w:rsidRDefault="00242C07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I – IDENTIFICAÇÃO</w:t>
            </w:r>
          </w:p>
        </w:tc>
      </w:tr>
      <w:tr w:rsidR="00242C07" w:rsidRPr="009E38C5" w:rsidTr="00AB377E">
        <w:tc>
          <w:tcPr>
            <w:tcW w:w="2553" w:type="dxa"/>
            <w:tcBorders>
              <w:top w:val="nil"/>
              <w:left w:val="single" w:sz="4" w:space="0" w:color="auto"/>
            </w:tcBorders>
          </w:tcPr>
          <w:p w:rsidR="00242C07" w:rsidRPr="009E38C5" w:rsidRDefault="00242C07" w:rsidP="00AB377E">
            <w:pPr>
              <w:pStyle w:val="Ttulo2"/>
              <w:jc w:val="right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Curso:</w:t>
            </w:r>
          </w:p>
        </w:tc>
        <w:tc>
          <w:tcPr>
            <w:tcW w:w="6337" w:type="dxa"/>
            <w:tcBorders>
              <w:top w:val="nil"/>
              <w:right w:val="single" w:sz="4" w:space="0" w:color="auto"/>
            </w:tcBorders>
          </w:tcPr>
          <w:p w:rsidR="00242C07" w:rsidRPr="009E38C5" w:rsidRDefault="007E78A6" w:rsidP="00CB36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Licenciatura Plena em Letras Língua Por</w:t>
            </w:r>
            <w:r w:rsidR="000A50ED">
              <w:rPr>
                <w:rFonts w:ascii="Arial" w:hAnsi="Arial" w:cs="Arial"/>
                <w:b/>
                <w:sz w:val="22"/>
                <w:szCs w:val="22"/>
              </w:rPr>
              <w:t>tuguesa e Língua Francesa</w:t>
            </w:r>
            <w:bookmarkStart w:id="0" w:name="_GoBack"/>
            <w:bookmarkEnd w:id="0"/>
          </w:p>
        </w:tc>
      </w:tr>
      <w:tr w:rsidR="00242C07" w:rsidRPr="009E38C5" w:rsidTr="00AB377E"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242C07" w:rsidRPr="009E38C5" w:rsidRDefault="00242C07" w:rsidP="00AB377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337" w:type="dxa"/>
            <w:tcBorders>
              <w:bottom w:val="single" w:sz="4" w:space="0" w:color="auto"/>
              <w:right w:val="single" w:sz="4" w:space="0" w:color="auto"/>
            </w:tcBorders>
          </w:tcPr>
          <w:p w:rsidR="00242C07" w:rsidRPr="00103366" w:rsidRDefault="00242C07" w:rsidP="00AB377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366">
              <w:rPr>
                <w:rFonts w:ascii="Arial" w:hAnsi="Arial" w:cs="Arial"/>
                <w:color w:val="000000"/>
                <w:sz w:val="22"/>
                <w:szCs w:val="22"/>
              </w:rPr>
              <w:t xml:space="preserve">Legislação 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103366">
              <w:rPr>
                <w:rFonts w:ascii="Arial" w:hAnsi="Arial" w:cs="Arial"/>
                <w:color w:val="000000"/>
                <w:sz w:val="22"/>
                <w:szCs w:val="22"/>
              </w:rPr>
              <w:t xml:space="preserve">olítica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103366">
              <w:rPr>
                <w:rFonts w:ascii="Arial" w:hAnsi="Arial" w:cs="Arial"/>
                <w:color w:val="000000"/>
                <w:sz w:val="22"/>
                <w:szCs w:val="22"/>
              </w:rPr>
              <w:t xml:space="preserve">ducacional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  <w:r w:rsidRPr="00103366">
              <w:rPr>
                <w:rFonts w:ascii="Arial" w:hAnsi="Arial" w:cs="Arial"/>
                <w:color w:val="000000"/>
                <w:sz w:val="22"/>
                <w:szCs w:val="22"/>
              </w:rPr>
              <w:t>rasileira</w:t>
            </w:r>
          </w:p>
          <w:p w:rsidR="00242C07" w:rsidRPr="009E38C5" w:rsidRDefault="00242C07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C07" w:rsidRPr="009E38C5" w:rsidTr="00AB377E">
        <w:trPr>
          <w:cantSplit/>
        </w:trPr>
        <w:tc>
          <w:tcPr>
            <w:tcW w:w="88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42C07" w:rsidRPr="009E38C5" w:rsidRDefault="00242C07" w:rsidP="00AB37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C07" w:rsidRPr="009E38C5" w:rsidTr="00AB377E">
        <w:tc>
          <w:tcPr>
            <w:tcW w:w="2553" w:type="dxa"/>
            <w:tcBorders>
              <w:left w:val="single" w:sz="4" w:space="0" w:color="auto"/>
            </w:tcBorders>
          </w:tcPr>
          <w:p w:rsidR="00242C07" w:rsidRPr="009E38C5" w:rsidRDefault="00242C07" w:rsidP="00AB377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337" w:type="dxa"/>
            <w:tcBorders>
              <w:right w:val="single" w:sz="4" w:space="0" w:color="auto"/>
            </w:tcBorders>
          </w:tcPr>
          <w:p w:rsidR="00242C07" w:rsidRPr="009E38C5" w:rsidRDefault="00242C07" w:rsidP="00AB37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9E38C5">
              <w:rPr>
                <w:rFonts w:ascii="Arial" w:hAnsi="Arial" w:cs="Arial"/>
                <w:sz w:val="22"/>
                <w:szCs w:val="22"/>
              </w:rPr>
              <w:t>0 h</w:t>
            </w:r>
          </w:p>
        </w:tc>
      </w:tr>
    </w:tbl>
    <w:p w:rsidR="00242C07" w:rsidRPr="009E38C5" w:rsidRDefault="00242C07" w:rsidP="00242C07">
      <w:pPr>
        <w:rPr>
          <w:rFonts w:ascii="Arial" w:hAnsi="Arial" w:cs="Arial"/>
          <w:sz w:val="22"/>
          <w:szCs w:val="22"/>
        </w:rPr>
      </w:pPr>
    </w:p>
    <w:tbl>
      <w:tblPr>
        <w:tblW w:w="89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8884"/>
        <w:gridCol w:w="45"/>
      </w:tblGrid>
      <w:tr w:rsidR="00242C07" w:rsidRPr="009E38C5" w:rsidTr="00AB377E">
        <w:trPr>
          <w:gridAfter w:val="1"/>
          <w:wAfter w:w="45" w:type="dxa"/>
          <w:trHeight w:val="206"/>
        </w:trPr>
        <w:tc>
          <w:tcPr>
            <w:tcW w:w="8890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242C07" w:rsidRPr="009E38C5" w:rsidRDefault="00242C07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II – EMENTA </w:t>
            </w:r>
          </w:p>
        </w:tc>
      </w:tr>
      <w:tr w:rsidR="00242C07" w:rsidRPr="00A21512" w:rsidTr="00AB377E">
        <w:trPr>
          <w:gridAfter w:val="1"/>
          <w:wAfter w:w="45" w:type="dxa"/>
          <w:trHeight w:val="959"/>
        </w:trPr>
        <w:tc>
          <w:tcPr>
            <w:tcW w:w="8890" w:type="dxa"/>
            <w:gridSpan w:val="2"/>
            <w:tcBorders>
              <w:top w:val="double" w:sz="6" w:space="0" w:color="auto"/>
              <w:bottom w:val="single" w:sz="4" w:space="0" w:color="auto"/>
            </w:tcBorders>
          </w:tcPr>
          <w:p w:rsidR="00F01E7B" w:rsidRDefault="00F01E7B" w:rsidP="00AB377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2C07" w:rsidRDefault="00242C07" w:rsidP="00AB377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512">
              <w:rPr>
                <w:rFonts w:ascii="Arial" w:hAnsi="Arial" w:cs="Arial"/>
                <w:color w:val="000000"/>
                <w:sz w:val="22"/>
                <w:szCs w:val="22"/>
              </w:rPr>
              <w:t>Configurações sócio históricas da organização do ensino brasileiro: da Colônia à República. A educação nos Estatutos Jurídicos brasileiros contemporâneos e sua regulamentação decorrente.</w:t>
            </w:r>
          </w:p>
          <w:p w:rsidR="00F01E7B" w:rsidRPr="00A21512" w:rsidRDefault="00F01E7B" w:rsidP="00AB377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42C07" w:rsidRPr="00A21512" w:rsidTr="00AB377E">
        <w:trPr>
          <w:gridAfter w:val="1"/>
          <w:wAfter w:w="45" w:type="dxa"/>
          <w:trHeight w:val="196"/>
        </w:trPr>
        <w:tc>
          <w:tcPr>
            <w:tcW w:w="8890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242C07" w:rsidRPr="00A21512" w:rsidRDefault="00242C07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A21512">
              <w:rPr>
                <w:rFonts w:cs="Arial"/>
                <w:sz w:val="22"/>
                <w:szCs w:val="22"/>
              </w:rPr>
              <w:t xml:space="preserve">   III – OBJETIVOS DA DISCIPLINA</w:t>
            </w:r>
          </w:p>
        </w:tc>
      </w:tr>
      <w:tr w:rsidR="00242C07" w:rsidRPr="00A21512" w:rsidTr="00AB377E">
        <w:trPr>
          <w:gridAfter w:val="1"/>
          <w:wAfter w:w="45" w:type="dxa"/>
          <w:trHeight w:val="959"/>
        </w:trPr>
        <w:tc>
          <w:tcPr>
            <w:tcW w:w="8890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F01E7B" w:rsidRDefault="00F01E7B" w:rsidP="00AB377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2C07" w:rsidRPr="00A21512" w:rsidRDefault="00242C07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512">
              <w:rPr>
                <w:rFonts w:ascii="Arial" w:hAnsi="Arial" w:cs="Arial"/>
                <w:color w:val="000000"/>
                <w:sz w:val="22"/>
                <w:szCs w:val="22"/>
              </w:rPr>
              <w:t>Conhecer e analisar criticamente as políticas educacionais brasileiras para a Educação e o ordenamento jurídico-legislativo delas decorrentes</w:t>
            </w:r>
            <w:r w:rsidRPr="00A21512">
              <w:rPr>
                <w:color w:val="000000"/>
                <w:sz w:val="22"/>
                <w:szCs w:val="22"/>
              </w:rPr>
              <w:t>.</w:t>
            </w:r>
          </w:p>
        </w:tc>
      </w:tr>
      <w:tr w:rsidR="001F517B" w:rsidRPr="00A21512" w:rsidTr="001F517B">
        <w:trPr>
          <w:gridAfter w:val="1"/>
          <w:wAfter w:w="45" w:type="dxa"/>
          <w:trHeight w:val="283"/>
        </w:trPr>
        <w:tc>
          <w:tcPr>
            <w:tcW w:w="8890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1F517B" w:rsidRPr="00A21512" w:rsidRDefault="001F517B" w:rsidP="001F51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512">
              <w:rPr>
                <w:rFonts w:ascii="Arial" w:hAnsi="Arial" w:cs="Arial"/>
                <w:b/>
                <w:sz w:val="22"/>
                <w:szCs w:val="22"/>
              </w:rPr>
              <w:t>IV – METODOLOGIA DE ENSINO</w:t>
            </w:r>
          </w:p>
        </w:tc>
      </w:tr>
      <w:tr w:rsidR="00242C07" w:rsidRPr="00A21512" w:rsidTr="00AB377E">
        <w:trPr>
          <w:gridAfter w:val="1"/>
          <w:wAfter w:w="45" w:type="dxa"/>
          <w:trHeight w:val="869"/>
        </w:trPr>
        <w:tc>
          <w:tcPr>
            <w:tcW w:w="8890" w:type="dxa"/>
            <w:gridSpan w:val="2"/>
            <w:tcBorders>
              <w:top w:val="nil"/>
              <w:bottom w:val="nil"/>
            </w:tcBorders>
          </w:tcPr>
          <w:p w:rsidR="00F01E7B" w:rsidRDefault="00F01E7B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2C07" w:rsidRPr="00A21512" w:rsidRDefault="00242C07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512">
              <w:rPr>
                <w:rFonts w:ascii="Arial" w:hAnsi="Arial" w:cs="Arial"/>
                <w:sz w:val="22"/>
                <w:szCs w:val="22"/>
              </w:rPr>
              <w:t>Aulas expositivas;</w:t>
            </w:r>
          </w:p>
          <w:p w:rsidR="00242C07" w:rsidRPr="00A21512" w:rsidRDefault="00242C07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512">
              <w:rPr>
                <w:rFonts w:ascii="Arial" w:hAnsi="Arial" w:cs="Arial"/>
                <w:sz w:val="22"/>
                <w:szCs w:val="22"/>
              </w:rPr>
              <w:t>Aulas dialogadas;</w:t>
            </w:r>
          </w:p>
          <w:p w:rsidR="00242C07" w:rsidRPr="00A21512" w:rsidRDefault="00242C07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512">
              <w:rPr>
                <w:rFonts w:ascii="Arial" w:hAnsi="Arial" w:cs="Arial"/>
                <w:sz w:val="22"/>
                <w:szCs w:val="22"/>
              </w:rPr>
              <w:t>Leitura e discussão de textos teóricos;</w:t>
            </w:r>
          </w:p>
          <w:p w:rsidR="00242C07" w:rsidRPr="00A21512" w:rsidRDefault="00242C07" w:rsidP="00AB377E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21512">
              <w:rPr>
                <w:rFonts w:ascii="Arial" w:hAnsi="Arial" w:cs="Arial"/>
                <w:sz w:val="22"/>
                <w:szCs w:val="22"/>
              </w:rPr>
              <w:t>Socialização da leitura de textos teóricos.</w:t>
            </w:r>
          </w:p>
        </w:tc>
      </w:tr>
      <w:tr w:rsidR="00242C07" w:rsidRPr="00A21512" w:rsidTr="00AB377E">
        <w:trPr>
          <w:gridAfter w:val="1"/>
          <w:wAfter w:w="45" w:type="dxa"/>
          <w:trHeight w:val="67"/>
        </w:trPr>
        <w:tc>
          <w:tcPr>
            <w:tcW w:w="8890" w:type="dxa"/>
            <w:gridSpan w:val="2"/>
            <w:tcBorders>
              <w:top w:val="nil"/>
              <w:bottom w:val="nil"/>
            </w:tcBorders>
          </w:tcPr>
          <w:p w:rsidR="00242C07" w:rsidRPr="00A21512" w:rsidRDefault="00242C07" w:rsidP="00AB37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42C07" w:rsidRPr="00A21512" w:rsidTr="00AB377E">
        <w:trPr>
          <w:gridAfter w:val="1"/>
          <w:wAfter w:w="45" w:type="dxa"/>
          <w:trHeight w:val="245"/>
        </w:trPr>
        <w:tc>
          <w:tcPr>
            <w:tcW w:w="88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42C07" w:rsidRPr="00A21512" w:rsidRDefault="00242C07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A21512">
              <w:rPr>
                <w:rFonts w:cs="Arial"/>
                <w:sz w:val="22"/>
                <w:szCs w:val="22"/>
              </w:rPr>
              <w:t>V – CONTEÚDO PROGRAMÁTICO</w:t>
            </w:r>
          </w:p>
        </w:tc>
      </w:tr>
      <w:tr w:rsidR="00242C07" w:rsidRPr="00A21512" w:rsidTr="00AB377E">
        <w:trPr>
          <w:gridAfter w:val="1"/>
          <w:wAfter w:w="45" w:type="dxa"/>
          <w:trHeight w:val="306"/>
        </w:trPr>
        <w:tc>
          <w:tcPr>
            <w:tcW w:w="88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1E7B" w:rsidRDefault="00F01E7B" w:rsidP="00AB377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42C07" w:rsidRPr="00A21512" w:rsidRDefault="00242C07" w:rsidP="00AB377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512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Unidade I. Política e Legislação: significado e importância</w:t>
            </w:r>
            <w:r w:rsidRPr="00A2151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242C07" w:rsidRPr="00A21512" w:rsidRDefault="00242C07" w:rsidP="00242C07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512">
              <w:rPr>
                <w:rFonts w:ascii="Arial" w:hAnsi="Arial" w:cs="Arial"/>
                <w:color w:val="000000"/>
                <w:sz w:val="22"/>
                <w:szCs w:val="22"/>
              </w:rPr>
              <w:t>Definições e concepções.</w:t>
            </w:r>
          </w:p>
          <w:p w:rsidR="00242C07" w:rsidRPr="00A21512" w:rsidRDefault="00242C07" w:rsidP="00242C07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512">
              <w:rPr>
                <w:rFonts w:ascii="Arial" w:hAnsi="Arial" w:cs="Arial"/>
                <w:color w:val="000000"/>
                <w:sz w:val="22"/>
                <w:szCs w:val="22"/>
              </w:rPr>
              <w:t>O conhecimento sobre política e legislação necessárias á prática profissional docente.</w:t>
            </w:r>
          </w:p>
          <w:p w:rsidR="00242C07" w:rsidRPr="00A21512" w:rsidRDefault="00242C07" w:rsidP="00AB377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2151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Unidade II: O arcabouço jurídico normativo da educação brasileira dentro dos       diferentes tempos históricos: da </w:t>
            </w:r>
            <w:r w:rsidRPr="00A21512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Ratio Studiorum</w:t>
            </w:r>
            <w:r w:rsidRPr="00A2151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às reformas na 1ª LDB.</w:t>
            </w:r>
          </w:p>
          <w:p w:rsidR="00242C07" w:rsidRPr="00A21512" w:rsidRDefault="00242C07" w:rsidP="00AB377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51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2.1. O arcabouço jurídico-normativo da educação brasileira no    período Colonial e Reinol;</w:t>
            </w:r>
          </w:p>
          <w:p w:rsidR="00242C07" w:rsidRPr="00A21512" w:rsidRDefault="00242C07" w:rsidP="00AB377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51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2.2. O arcabouço jurídico-normativo da educação brasileira no período Imperial;</w:t>
            </w:r>
          </w:p>
          <w:p w:rsidR="00242C07" w:rsidRPr="00A21512" w:rsidRDefault="00242C07" w:rsidP="00AB377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512">
              <w:rPr>
                <w:rFonts w:ascii="Arial" w:hAnsi="Arial" w:cs="Arial"/>
                <w:sz w:val="22"/>
                <w:szCs w:val="22"/>
              </w:rPr>
              <w:t xml:space="preserve">                   2.3. </w:t>
            </w:r>
            <w:r w:rsidRPr="00A21512">
              <w:rPr>
                <w:rFonts w:ascii="Arial" w:hAnsi="Arial" w:cs="Arial"/>
                <w:color w:val="000000"/>
                <w:sz w:val="22"/>
                <w:szCs w:val="22"/>
              </w:rPr>
              <w:t>O arcabouço jurídico-normativo da educação brasileira no período Republicano;</w:t>
            </w:r>
          </w:p>
          <w:p w:rsidR="00242C07" w:rsidRPr="00A21512" w:rsidRDefault="00242C07" w:rsidP="00AB377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51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2.3.1. A 1ª Lei de Diretrizes e Bases – Lei nº 4024/61;</w:t>
            </w:r>
          </w:p>
          <w:p w:rsidR="00242C07" w:rsidRPr="00A21512" w:rsidRDefault="00242C07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51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2.3.2. As Reformas na LDB/61: Lei 5.540/68; Lei 5.692/71 e Lei 7.044/82.</w:t>
            </w:r>
            <w:r w:rsidRPr="00A215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242C07" w:rsidRPr="00A21512" w:rsidRDefault="00242C07" w:rsidP="00AB377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21512">
              <w:rPr>
                <w:rFonts w:ascii="Arial" w:hAnsi="Arial" w:cs="Arial"/>
                <w:b/>
                <w:sz w:val="22"/>
                <w:szCs w:val="22"/>
              </w:rPr>
              <w:t xml:space="preserve">Unidade III: O processo político-legislativo de elaboração da nova LDB – Lei </w:t>
            </w:r>
            <w:r w:rsidRPr="00A21512">
              <w:rPr>
                <w:rFonts w:ascii="Arial" w:hAnsi="Arial" w:cs="Arial"/>
                <w:b/>
                <w:sz w:val="22"/>
                <w:szCs w:val="22"/>
              </w:rPr>
              <w:lastRenderedPageBreak/>
              <w:t>9.394/96.</w:t>
            </w:r>
          </w:p>
          <w:p w:rsidR="00242C07" w:rsidRPr="00A21512" w:rsidRDefault="00242C07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512">
              <w:rPr>
                <w:rFonts w:ascii="Arial" w:hAnsi="Arial" w:cs="Arial"/>
                <w:sz w:val="22"/>
                <w:szCs w:val="22"/>
              </w:rPr>
              <w:t xml:space="preserve">                3.1. O Congresso Nacional brasileiro: estrutura e funcionamento;</w:t>
            </w:r>
          </w:p>
          <w:p w:rsidR="00242C07" w:rsidRPr="00A21512" w:rsidRDefault="00242C07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512">
              <w:rPr>
                <w:rFonts w:ascii="Arial" w:hAnsi="Arial" w:cs="Arial"/>
                <w:sz w:val="22"/>
                <w:szCs w:val="22"/>
              </w:rPr>
              <w:t xml:space="preserve">                3.2. A tecitura do Projeto Original para a LDB.   </w:t>
            </w:r>
          </w:p>
          <w:p w:rsidR="00242C07" w:rsidRPr="00A21512" w:rsidRDefault="00242C07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512">
              <w:rPr>
                <w:rFonts w:ascii="Arial" w:hAnsi="Arial" w:cs="Arial"/>
                <w:sz w:val="22"/>
                <w:szCs w:val="22"/>
              </w:rPr>
              <w:t xml:space="preserve">                3.3. A tramitação do Projeto de LDB no Congresso Nacional e sua resultante: diferentes projetos em disputa.</w:t>
            </w:r>
          </w:p>
          <w:p w:rsidR="00242C07" w:rsidRPr="00A21512" w:rsidRDefault="00242C07" w:rsidP="00AB377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21512">
              <w:rPr>
                <w:rFonts w:ascii="Arial" w:hAnsi="Arial" w:cs="Arial"/>
                <w:b/>
                <w:sz w:val="22"/>
                <w:szCs w:val="22"/>
              </w:rPr>
              <w:t>Unidade IV: Os Sistemas de Ensino e a organização da educação nacional:</w:t>
            </w:r>
          </w:p>
          <w:p w:rsidR="00242C07" w:rsidRPr="00A21512" w:rsidRDefault="00242C07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512">
              <w:rPr>
                <w:rFonts w:ascii="Arial" w:hAnsi="Arial" w:cs="Arial"/>
                <w:sz w:val="22"/>
                <w:szCs w:val="22"/>
              </w:rPr>
              <w:t xml:space="preserve">                4.1. Os Sistemas de Ensino: conceitos, tiposm composição e características;</w:t>
            </w:r>
            <w:r w:rsidRPr="00A21512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Pr="00A21512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242C07" w:rsidRPr="00A21512" w:rsidRDefault="00242C07" w:rsidP="00AB377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5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1512">
              <w:rPr>
                <w:color w:val="000000"/>
                <w:sz w:val="22"/>
                <w:szCs w:val="22"/>
              </w:rPr>
              <w:t xml:space="preserve">                 </w:t>
            </w:r>
            <w:r w:rsidRPr="00A21512">
              <w:rPr>
                <w:rFonts w:ascii="Arial" w:hAnsi="Arial" w:cs="Arial"/>
                <w:color w:val="000000"/>
                <w:sz w:val="22"/>
                <w:szCs w:val="22"/>
              </w:rPr>
              <w:t>4.2. O Sistema Estadual de Ensino amapaense: composição e características.</w:t>
            </w:r>
          </w:p>
          <w:p w:rsidR="00242C07" w:rsidRPr="00A21512" w:rsidRDefault="00242C07" w:rsidP="00AB377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21512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Unidade V: Aspectos técnico-normativos da LDB 9.394/96 e sua regulamentação decorrentes: o escrito e o feito.</w:t>
            </w:r>
          </w:p>
          <w:p w:rsidR="00242C07" w:rsidRPr="00A21512" w:rsidRDefault="00242C07" w:rsidP="00AB37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51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5.1. Conceitos, Princípios e Fins da educação nacional;</w:t>
            </w:r>
          </w:p>
          <w:p w:rsidR="00242C07" w:rsidRPr="00A21512" w:rsidRDefault="00242C07" w:rsidP="00AB37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51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5.2. A nova estrutura da educação nacional: níveis e modalidades de educação e ensino;</w:t>
            </w:r>
          </w:p>
          <w:p w:rsidR="00242C07" w:rsidRPr="00A21512" w:rsidRDefault="00242C07" w:rsidP="00AB37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51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5.2.1. Educação Infantil;</w:t>
            </w:r>
          </w:p>
          <w:p w:rsidR="00242C07" w:rsidRPr="00A21512" w:rsidRDefault="00242C07" w:rsidP="00AB37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51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5.2.2. Educação Fundamental;</w:t>
            </w:r>
          </w:p>
          <w:p w:rsidR="00242C07" w:rsidRPr="00A21512" w:rsidRDefault="00242C07" w:rsidP="00AB37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51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5.2.3. Ensino Médio;</w:t>
            </w:r>
          </w:p>
          <w:p w:rsidR="00242C07" w:rsidRPr="00A21512" w:rsidRDefault="00242C07" w:rsidP="00AB37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51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5.2.4. Educação Profissional Técnica;</w:t>
            </w:r>
          </w:p>
          <w:p w:rsidR="00242C07" w:rsidRPr="00A21512" w:rsidRDefault="00242C07" w:rsidP="00AB37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51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5.2.5. Educação de Jovens e Adulto</w:t>
            </w:r>
            <w:r w:rsidR="00451FEF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A21512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242C07" w:rsidRPr="00A21512" w:rsidRDefault="00242C07" w:rsidP="00AB37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51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5.2.6. Educação Especial;</w:t>
            </w:r>
          </w:p>
          <w:p w:rsidR="00242C07" w:rsidRPr="00A21512" w:rsidRDefault="00242C07" w:rsidP="00AB37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51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5.2.7. Educação a Distancia;</w:t>
            </w:r>
          </w:p>
          <w:p w:rsidR="00242C07" w:rsidRPr="00A21512" w:rsidRDefault="00242C07" w:rsidP="00AB37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51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5.2.8. Educação Superior.</w:t>
            </w:r>
          </w:p>
          <w:p w:rsidR="00242C07" w:rsidRPr="00A21512" w:rsidRDefault="00242C07" w:rsidP="00AB37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51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5.3. A Organização Curricular na Educação Básica;</w:t>
            </w:r>
          </w:p>
          <w:p w:rsidR="00242C07" w:rsidRPr="00A21512" w:rsidRDefault="00242C07" w:rsidP="00AB37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51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5.4. A Avaliação e a Recuperação da Aprendizagem;</w:t>
            </w:r>
          </w:p>
          <w:p w:rsidR="00242C07" w:rsidRPr="00A21512" w:rsidRDefault="00242C07" w:rsidP="00AB37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51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5.6. O Financiamento da Educação;</w:t>
            </w:r>
          </w:p>
          <w:p w:rsidR="00242C07" w:rsidRPr="00A21512" w:rsidRDefault="00242C07" w:rsidP="00AB37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51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5.7. Os Profissionais da Educação.</w:t>
            </w:r>
          </w:p>
          <w:p w:rsidR="00242C07" w:rsidRPr="00A21512" w:rsidRDefault="00242C07" w:rsidP="00AB377E">
            <w:pPr>
              <w:pStyle w:val="Default"/>
              <w:ind w:left="34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7A632E" w:rsidRPr="00A21512" w:rsidTr="00AB377E">
        <w:trPr>
          <w:gridAfter w:val="1"/>
          <w:wAfter w:w="45" w:type="dxa"/>
          <w:trHeight w:val="306"/>
        </w:trPr>
        <w:tc>
          <w:tcPr>
            <w:tcW w:w="88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A632E" w:rsidRPr="00A21512" w:rsidRDefault="007A632E" w:rsidP="007A632E">
            <w:pPr>
              <w:pStyle w:val="Ttulo1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A21512">
              <w:rPr>
                <w:rFonts w:cs="Arial"/>
                <w:sz w:val="22"/>
                <w:szCs w:val="22"/>
              </w:rPr>
              <w:lastRenderedPageBreak/>
              <w:t>VI – AVALIAÇÃO</w:t>
            </w:r>
          </w:p>
        </w:tc>
      </w:tr>
      <w:tr w:rsidR="00242C07" w:rsidRPr="009E38C5" w:rsidTr="00AB377E">
        <w:trPr>
          <w:gridBefore w:val="1"/>
          <w:wBefore w:w="6" w:type="dxa"/>
          <w:trHeight w:val="521"/>
        </w:trPr>
        <w:tc>
          <w:tcPr>
            <w:tcW w:w="8929" w:type="dxa"/>
            <w:gridSpan w:val="2"/>
            <w:tcBorders>
              <w:bottom w:val="double" w:sz="6" w:space="0" w:color="auto"/>
            </w:tcBorders>
          </w:tcPr>
          <w:p w:rsidR="00F01E7B" w:rsidRDefault="00F01E7B" w:rsidP="008154D4">
            <w:pPr>
              <w:rPr>
                <w:rFonts w:ascii="Arial" w:hAnsi="Arial" w:cs="Arial"/>
                <w:sz w:val="22"/>
                <w:szCs w:val="22"/>
              </w:rPr>
            </w:pPr>
          </w:p>
          <w:p w:rsidR="00242C07" w:rsidRDefault="00242C07" w:rsidP="008154D4">
            <w:pPr>
              <w:rPr>
                <w:rFonts w:ascii="Arial" w:hAnsi="Arial" w:cs="Arial"/>
                <w:sz w:val="22"/>
                <w:szCs w:val="22"/>
              </w:rPr>
            </w:pPr>
            <w:r w:rsidRPr="00A21512">
              <w:rPr>
                <w:rFonts w:ascii="Arial" w:hAnsi="Arial" w:cs="Arial"/>
                <w:sz w:val="22"/>
                <w:szCs w:val="22"/>
              </w:rPr>
              <w:t>A ser combinada entre docente e discentes no primeiro dia de aula. No entanto, para composição da nota final, deverão ser considerados elementos tais como provas orais e escritas, trabalhos diversos, relatos de palestras e eventos assistidos e apresentações orais e escritas.</w:t>
            </w:r>
          </w:p>
          <w:p w:rsidR="00F01E7B" w:rsidRPr="00A21512" w:rsidRDefault="00F01E7B" w:rsidP="008154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0BA" w:rsidRPr="009E38C5" w:rsidTr="001600BA">
        <w:trPr>
          <w:gridBefore w:val="1"/>
          <w:wBefore w:w="6" w:type="dxa"/>
          <w:trHeight w:val="283"/>
        </w:trPr>
        <w:tc>
          <w:tcPr>
            <w:tcW w:w="8929" w:type="dxa"/>
            <w:gridSpan w:val="2"/>
            <w:tcBorders>
              <w:bottom w:val="double" w:sz="6" w:space="0" w:color="auto"/>
            </w:tcBorders>
          </w:tcPr>
          <w:p w:rsidR="001600BA" w:rsidRPr="00A21512" w:rsidRDefault="001600BA" w:rsidP="001600BA">
            <w:pPr>
              <w:pStyle w:val="Ttulo1"/>
              <w:rPr>
                <w:rFonts w:cs="Arial"/>
                <w:sz w:val="22"/>
                <w:szCs w:val="22"/>
              </w:rPr>
            </w:pPr>
            <w:r w:rsidRPr="00A21512">
              <w:rPr>
                <w:rFonts w:cs="Arial"/>
                <w:sz w:val="22"/>
                <w:szCs w:val="22"/>
              </w:rPr>
              <w:t>VII – BIBLIOGRAFIA BÁSICA</w:t>
            </w:r>
          </w:p>
        </w:tc>
      </w:tr>
      <w:tr w:rsidR="00242C07" w:rsidRPr="009E38C5" w:rsidTr="00E25DC2">
        <w:trPr>
          <w:gridBefore w:val="1"/>
          <w:wBefore w:w="6" w:type="dxa"/>
          <w:trHeight w:val="260"/>
        </w:trPr>
        <w:tc>
          <w:tcPr>
            <w:tcW w:w="8929" w:type="dxa"/>
            <w:gridSpan w:val="2"/>
          </w:tcPr>
          <w:p w:rsidR="008168F8" w:rsidRPr="008168F8" w:rsidRDefault="008168F8" w:rsidP="008168F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8F8">
              <w:rPr>
                <w:rFonts w:ascii="Arial" w:hAnsi="Arial" w:cs="Arial"/>
                <w:color w:val="000000"/>
                <w:sz w:val="22"/>
                <w:szCs w:val="22"/>
              </w:rPr>
              <w:t>BRASIL. Congresso Nacional. Lei de Diretrizes e Bases da Educação Nacional – Nº 9.394/96, de 20/12/1996. Brasília: DOU, 2006. (resgatar em www.mec.gov.br/Legislação).</w:t>
            </w:r>
          </w:p>
          <w:p w:rsidR="008168F8" w:rsidRPr="008168F8" w:rsidRDefault="008168F8" w:rsidP="008168F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8F8">
              <w:rPr>
                <w:rFonts w:ascii="Arial" w:hAnsi="Arial" w:cs="Arial"/>
                <w:color w:val="000000"/>
                <w:sz w:val="22"/>
                <w:szCs w:val="22"/>
              </w:rPr>
              <w:t>CURY, Carlos Roberto Jamil. Legislação educacional brasileira. 2ª Ed. Rio de Janeiro: DP&amp;A,2002 (Coleção O que você precisa saber sobre...).</w:t>
            </w:r>
          </w:p>
          <w:p w:rsidR="00242C07" w:rsidRPr="00A21512" w:rsidRDefault="008168F8" w:rsidP="008168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68F8">
              <w:rPr>
                <w:rFonts w:ascii="Arial" w:hAnsi="Arial" w:cs="Arial"/>
                <w:color w:val="000000"/>
                <w:sz w:val="22"/>
                <w:szCs w:val="22"/>
              </w:rPr>
              <w:t>SAVIANI, Dermeval. Da nova LDB ao novo Plano Nacional de Educação: por uma outra política educacional. Campinas, SP: Autores Associados, 1998. – (Coleção Educação Contemporânea).</w:t>
            </w:r>
          </w:p>
        </w:tc>
      </w:tr>
      <w:tr w:rsidR="00E25DC2" w:rsidRPr="009E38C5" w:rsidTr="00E25DC2">
        <w:trPr>
          <w:gridBefore w:val="1"/>
          <w:wBefore w:w="6" w:type="dxa"/>
          <w:trHeight w:val="260"/>
        </w:trPr>
        <w:tc>
          <w:tcPr>
            <w:tcW w:w="8929" w:type="dxa"/>
            <w:gridSpan w:val="2"/>
          </w:tcPr>
          <w:p w:rsidR="00E25DC2" w:rsidRPr="00661D00" w:rsidRDefault="00E25DC2" w:rsidP="00E25DC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5DC2" w:rsidRPr="009E38C5" w:rsidTr="00E25DC2">
        <w:trPr>
          <w:gridBefore w:val="1"/>
          <w:wBefore w:w="6" w:type="dxa"/>
          <w:trHeight w:val="260"/>
        </w:trPr>
        <w:tc>
          <w:tcPr>
            <w:tcW w:w="8929" w:type="dxa"/>
            <w:gridSpan w:val="2"/>
          </w:tcPr>
          <w:p w:rsidR="00E25DC2" w:rsidRPr="00661D00" w:rsidRDefault="00E25DC2" w:rsidP="00531D11">
            <w:pPr>
              <w:pStyle w:val="Ttulo"/>
              <w:ind w:left="397" w:hanging="397"/>
              <w:rPr>
                <w:rFonts w:cs="Arial"/>
                <w:color w:val="auto"/>
                <w:sz w:val="22"/>
                <w:szCs w:val="22"/>
              </w:rPr>
            </w:pPr>
            <w:r w:rsidRPr="00661D00">
              <w:rPr>
                <w:rFonts w:cs="Arial"/>
                <w:color w:val="auto"/>
                <w:sz w:val="22"/>
                <w:szCs w:val="22"/>
              </w:rPr>
              <w:t>V</w:t>
            </w:r>
            <w:r>
              <w:rPr>
                <w:rFonts w:cs="Arial"/>
                <w:color w:val="auto"/>
                <w:sz w:val="22"/>
                <w:szCs w:val="22"/>
              </w:rPr>
              <w:t>III</w:t>
            </w:r>
            <w:r w:rsidRPr="00661D00">
              <w:rPr>
                <w:rFonts w:cs="Arial"/>
                <w:color w:val="auto"/>
                <w:sz w:val="22"/>
                <w:szCs w:val="22"/>
              </w:rPr>
              <w:t xml:space="preserve"> – BIBLIOGRAFIA COMPLEMENTAR</w:t>
            </w:r>
          </w:p>
        </w:tc>
      </w:tr>
      <w:tr w:rsidR="00E25DC2" w:rsidRPr="009E38C5" w:rsidTr="00AB377E">
        <w:trPr>
          <w:gridBefore w:val="1"/>
          <w:wBefore w:w="6" w:type="dxa"/>
          <w:trHeight w:val="260"/>
        </w:trPr>
        <w:tc>
          <w:tcPr>
            <w:tcW w:w="8929" w:type="dxa"/>
            <w:gridSpan w:val="2"/>
            <w:tcBorders>
              <w:bottom w:val="double" w:sz="6" w:space="0" w:color="auto"/>
            </w:tcBorders>
          </w:tcPr>
          <w:p w:rsidR="008168F8" w:rsidRDefault="008168F8" w:rsidP="008168F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6FE1">
              <w:rPr>
                <w:rFonts w:ascii="Arial" w:hAnsi="Arial" w:cs="Arial"/>
                <w:color w:val="000000"/>
                <w:sz w:val="22"/>
                <w:szCs w:val="22"/>
              </w:rPr>
              <w:t>AZEVEDO, Janete M. Lins de. A educação como política pública. 2ª Ed. Campinas: São Paulo, 2001.</w:t>
            </w:r>
          </w:p>
          <w:p w:rsidR="008168F8" w:rsidRPr="00296FE1" w:rsidRDefault="008168F8" w:rsidP="008168F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6FE1">
              <w:rPr>
                <w:rFonts w:ascii="Arial" w:hAnsi="Arial" w:cs="Arial"/>
                <w:color w:val="000000"/>
                <w:sz w:val="22"/>
                <w:szCs w:val="22"/>
              </w:rPr>
              <w:t>BRZEZINSKI, Iria. Ldb dez anos depois: reinterpretação sob diversos olhares. 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ão Paulo: Cortez Editora, 2008.</w:t>
            </w:r>
          </w:p>
          <w:p w:rsidR="008168F8" w:rsidRPr="00296FE1" w:rsidRDefault="008168F8" w:rsidP="008168F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6FE1">
              <w:rPr>
                <w:rFonts w:ascii="Arial" w:hAnsi="Arial" w:cs="Arial"/>
                <w:color w:val="000000"/>
                <w:sz w:val="22"/>
                <w:szCs w:val="22"/>
              </w:rPr>
              <w:t>FREITAG, Bárbara. Escola, Estado &amp; Sociedade. São Paulo, Moraes, 1980.</w:t>
            </w:r>
          </w:p>
          <w:p w:rsidR="008168F8" w:rsidRPr="00296FE1" w:rsidRDefault="008168F8" w:rsidP="008168F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6FE1">
              <w:rPr>
                <w:rFonts w:ascii="Arial" w:hAnsi="Arial" w:cs="Arial"/>
                <w:color w:val="000000"/>
                <w:sz w:val="22"/>
                <w:szCs w:val="22"/>
              </w:rPr>
              <w:t>LIBÂNEO, José Carlos. OLIVEIRA, João Ferreira de. TOSHI, Mirza Seabra. Educação Escolar: Política, estrutura e organização. São Paulo: Cortez, 2003.</w:t>
            </w:r>
          </w:p>
          <w:p w:rsidR="00E25DC2" w:rsidRPr="00661D00" w:rsidRDefault="008168F8" w:rsidP="008168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color w:val="000000"/>
                <w:sz w:val="22"/>
                <w:szCs w:val="22"/>
              </w:rPr>
              <w:t>SAVIANI, Dermeval. Política e educação no Brasil: o papel do Congresso Nacional na legislação do ensino. – 3ª Ed. Campinas: Autores Associados, 1996.</w:t>
            </w:r>
          </w:p>
        </w:tc>
      </w:tr>
    </w:tbl>
    <w:p w:rsidR="000B73D5" w:rsidRDefault="000B73D5"/>
    <w:sectPr w:rsidR="000B73D5" w:rsidSect="00A51B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2100D"/>
    <w:multiLevelType w:val="multilevel"/>
    <w:tmpl w:val="D408B7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2C07"/>
    <w:rsid w:val="000A50ED"/>
    <w:rsid w:val="000B73D5"/>
    <w:rsid w:val="001600BA"/>
    <w:rsid w:val="001F517B"/>
    <w:rsid w:val="00242C07"/>
    <w:rsid w:val="00451FEF"/>
    <w:rsid w:val="00634D13"/>
    <w:rsid w:val="00723C32"/>
    <w:rsid w:val="007A632E"/>
    <w:rsid w:val="007E78A6"/>
    <w:rsid w:val="008154D4"/>
    <w:rsid w:val="008168F8"/>
    <w:rsid w:val="00A51BF9"/>
    <w:rsid w:val="00C92142"/>
    <w:rsid w:val="00CB36B5"/>
    <w:rsid w:val="00E25DC2"/>
    <w:rsid w:val="00F0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A7406-8EB7-428E-81EC-D77BF2F8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42C07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242C07"/>
    <w:pPr>
      <w:keepNext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2C0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42C07"/>
    <w:rPr>
      <w:rFonts w:ascii="Arial" w:eastAsia="Times New Roman" w:hAnsi="Arial" w:cs="Times New Roman"/>
      <w:b/>
      <w:sz w:val="28"/>
      <w:szCs w:val="20"/>
      <w:lang w:eastAsia="pt-BR"/>
    </w:rPr>
  </w:style>
  <w:style w:type="character" w:styleId="Hyperlink">
    <w:name w:val="Hyperlink"/>
    <w:basedOn w:val="Fontepargpadro"/>
    <w:uiPriority w:val="99"/>
    <w:rsid w:val="00242C07"/>
    <w:rPr>
      <w:color w:val="0000FF"/>
      <w:u w:val="single"/>
    </w:rPr>
  </w:style>
  <w:style w:type="paragraph" w:customStyle="1" w:styleId="Default">
    <w:name w:val="Default"/>
    <w:rsid w:val="00242C07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val="en-US" w:eastAsia="ar-SA"/>
    </w:rPr>
  </w:style>
  <w:style w:type="paragraph" w:styleId="Ttulo">
    <w:name w:val="Title"/>
    <w:basedOn w:val="Normal"/>
    <w:link w:val="TtuloChar"/>
    <w:qFormat/>
    <w:rsid w:val="00E25DC2"/>
    <w:pPr>
      <w:jc w:val="center"/>
    </w:pPr>
    <w:rPr>
      <w:rFonts w:ascii="Arial" w:hAnsi="Arial"/>
      <w:b/>
      <w:color w:val="0000FF"/>
      <w:sz w:val="36"/>
    </w:rPr>
  </w:style>
  <w:style w:type="character" w:customStyle="1" w:styleId="TtuloChar">
    <w:name w:val="Título Char"/>
    <w:basedOn w:val="Fontepargpadro"/>
    <w:link w:val="Ttulo"/>
    <w:rsid w:val="00E25DC2"/>
    <w:rPr>
      <w:rFonts w:ascii="Arial" w:eastAsia="Times New Roman" w:hAnsi="Arial" w:cs="Times New Roman"/>
      <w:b/>
      <w:color w:val="0000FF"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745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LABLETRAS</cp:lastModifiedBy>
  <cp:revision>15</cp:revision>
  <dcterms:created xsi:type="dcterms:W3CDTF">2012-05-11T17:25:00Z</dcterms:created>
  <dcterms:modified xsi:type="dcterms:W3CDTF">2016-05-13T13:00:00Z</dcterms:modified>
</cp:coreProperties>
</file>