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50.0" w:type="dxa"/>
        <w:jc w:val="left"/>
        <w:tblInd w:w="5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880"/>
        <w:gridCol w:w="2880"/>
        <w:tblGridChange w:id="0">
          <w:tblGrid>
            <w:gridCol w:w="219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2020.1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Início: 17/02/2020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Suspensão: 14/03/2020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Reativação: 12/04/2021</w:t>
              <w:br w:type="textWrapping"/>
              <w:t xml:space="preserve">Término: 15/06/2021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2020.2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Início: 05/07/2021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Término: 28/09/2021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2020.3 (suplementar)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03/11/2020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16/01/2021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2021.1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18/10/2021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15/02/2022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2021.2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23/03/2022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13/06/2022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2022.1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06/12/2022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2022.2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02/01/2023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06/05/2023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2023.1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19/06/2023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18/10/2023</w:t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2023.2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07/11/2023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27/03/2024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2024.1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Início: 29/04/2024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Greve docente: 20/05/2024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Resolução 16 de junho 2024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Reativação: 22/07/2024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Término: 23/11/2024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2024.2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10/12/2024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26/04/2025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2025.1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13/05/2025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30/09/2025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2025.2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16/10/2025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05/03/2026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2026.1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23/03/2026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25/07/2026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2026.2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12/08/2026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18/12/2026</w:t>
            </w:r>
          </w:p>
        </w:tc>
      </w:tr>
    </w:tbl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relação à análise do PAID 2022.1, do docente MADSON RALIDE FONSECA GOMES, com o regime de trabalho de (40H), observamos que foi cadastrada no SIGAA a carga horária final do Paid de 40H. Dessa forma, verificamos que as atividades desenvolvidas em ensino, pesquisa e extensão estão devidamente comprovadas e aceitas para atingir a carga horária total. Diante disso, o Paid do docente está APTO para a homologação, conforme Resolução Nº 20/2015/CONSU/UNIFAP.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6F169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A66C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Ag0olgDmG/Hb22mp83wFNfKoQ==">CgMxLjA4AHIhMTVTVW5NcldYeHE5RzViUmVEQ2Q3YUx5XzFPaDRuNVdj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2022-11-03T18:14:00Z</dcterms:created>
  <dc:creator>jonh</dc:creator>
</cp:coreProperties>
</file>