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INSTITUCIONAL DE BOLSAS DE INICIAÇÃO EM DESENVOLVIMENTO TECNOLÓGICO E INOVAÇÃO – PIBITI/CNPq/UNIFAP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aption"/>
        <w:spacing w:lineRule="auto" w:line="360" w:beforeAutospacing="0" w:before="0" w:afterAutospacing="0" w:after="0"/>
        <w:contextualSpacing/>
        <w:jc w:val="center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TERMO DE COMPROMISSO DO BOLSISTA E DO ORIENTADOR</w:t>
      </w:r>
    </w:p>
    <w:p>
      <w:pPr>
        <w:pStyle w:val="Caption"/>
        <w:spacing w:lineRule="auto" w:line="360" w:beforeAutospacing="0" w:before="0" w:after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94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"/>
        <w:gridCol w:w="163"/>
        <w:gridCol w:w="213"/>
        <w:gridCol w:w="36"/>
        <w:gridCol w:w="40"/>
        <w:gridCol w:w="210"/>
        <w:gridCol w:w="181"/>
        <w:gridCol w:w="14"/>
        <w:gridCol w:w="75"/>
        <w:gridCol w:w="630"/>
        <w:gridCol w:w="457"/>
        <w:gridCol w:w="168"/>
        <w:gridCol w:w="582"/>
        <w:gridCol w:w="362"/>
        <w:gridCol w:w="72"/>
        <w:gridCol w:w="296"/>
        <w:gridCol w:w="122"/>
        <w:gridCol w:w="86"/>
        <w:gridCol w:w="103"/>
        <w:gridCol w:w="721"/>
        <w:gridCol w:w="51"/>
        <w:gridCol w:w="310"/>
        <w:gridCol w:w="288"/>
        <w:gridCol w:w="674"/>
        <w:gridCol w:w="404"/>
        <w:gridCol w:w="158"/>
        <w:gridCol w:w="130"/>
        <w:gridCol w:w="75"/>
        <w:gridCol w:w="248"/>
        <w:gridCol w:w="95"/>
        <w:gridCol w:w="480"/>
        <w:gridCol w:w="198"/>
        <w:gridCol w:w="344"/>
        <w:gridCol w:w="694"/>
      </w:tblGrid>
      <w:tr>
        <w:trPr/>
        <w:tc>
          <w:tcPr>
            <w:tcW w:w="3864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IDENTIFICAÇÃO DO EDITAL</w:t>
            </w:r>
          </w:p>
        </w:tc>
        <w:tc>
          <w:tcPr>
            <w:tcW w:w="5549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Nº 001/202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 xml:space="preserve"> – NITT/PROPESPG/UNIFAP</w:t>
            </w:r>
          </w:p>
        </w:tc>
      </w:tr>
      <w:tr>
        <w:trPr/>
        <w:tc>
          <w:tcPr>
            <w:tcW w:w="2920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TÍTULO DO PROJETO</w:t>
            </w:r>
          </w:p>
        </w:tc>
        <w:tc>
          <w:tcPr>
            <w:tcW w:w="6493" w:type="dxa"/>
            <w:gridSpan w:val="2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3502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ÁREA DE CONHECIMENTO</w:t>
            </w:r>
          </w:p>
        </w:tc>
        <w:tc>
          <w:tcPr>
            <w:tcW w:w="5911" w:type="dxa"/>
            <w:gridSpan w:val="2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4354" w:type="dxa"/>
            <w:gridSpan w:val="1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TÍTULO DO PLANO DE TRABALHO</w:t>
            </w:r>
          </w:p>
        </w:tc>
        <w:tc>
          <w:tcPr>
            <w:tcW w:w="5059" w:type="dxa"/>
            <w:gridSpan w:val="1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9413" w:type="dxa"/>
            <w:gridSpan w:val="34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IDENTIFICAÇÃO DO BOLSISTA</w:t>
            </w:r>
          </w:p>
        </w:tc>
      </w:tr>
      <w:tr>
        <w:trPr/>
        <w:tc>
          <w:tcPr>
            <w:tcW w:w="114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NOME</w:t>
            </w:r>
          </w:p>
        </w:tc>
        <w:tc>
          <w:tcPr>
            <w:tcW w:w="5442" w:type="dxa"/>
            <w:gridSpan w:val="2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9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CPF</w:t>
            </w:r>
          </w:p>
        </w:tc>
        <w:tc>
          <w:tcPr>
            <w:tcW w:w="2134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RG</w:t>
            </w:r>
          </w:p>
        </w:tc>
        <w:tc>
          <w:tcPr>
            <w:tcW w:w="2187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9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ÓRGÃO EMISSOR</w:t>
            </w:r>
          </w:p>
        </w:tc>
        <w:tc>
          <w:tcPr>
            <w:tcW w:w="2862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4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UF</w:t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ENDEREÇO</w:t>
            </w:r>
          </w:p>
        </w:tc>
        <w:tc>
          <w:tcPr>
            <w:tcW w:w="5937" w:type="dxa"/>
            <w:gridSpan w:val="2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Nº</w:t>
            </w:r>
          </w:p>
        </w:tc>
        <w:tc>
          <w:tcPr>
            <w:tcW w:w="12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5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COMPLEMENTO</w:t>
            </w:r>
          </w:p>
        </w:tc>
        <w:tc>
          <w:tcPr>
            <w:tcW w:w="7118" w:type="dxa"/>
            <w:gridSpan w:val="2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8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CEP</w:t>
            </w:r>
          </w:p>
        </w:tc>
        <w:tc>
          <w:tcPr>
            <w:tcW w:w="185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8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CIDADE</w:t>
            </w:r>
          </w:p>
        </w:tc>
        <w:tc>
          <w:tcPr>
            <w:tcW w:w="3213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2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ESTADO</w:t>
            </w:r>
          </w:p>
        </w:tc>
        <w:tc>
          <w:tcPr>
            <w:tcW w:w="103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59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TELEFONE</w:t>
            </w:r>
          </w:p>
        </w:tc>
        <w:tc>
          <w:tcPr>
            <w:tcW w:w="2642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8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EMAIL</w:t>
            </w:r>
          </w:p>
        </w:tc>
        <w:tc>
          <w:tcPr>
            <w:tcW w:w="4098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18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CURSO</w:t>
            </w:r>
          </w:p>
        </w:tc>
        <w:tc>
          <w:tcPr>
            <w:tcW w:w="4728" w:type="dxa"/>
            <w:gridSpan w:val="1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84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MATRÍCULA</w:t>
            </w:r>
          </w:p>
        </w:tc>
        <w:tc>
          <w:tcPr>
            <w:tcW w:w="171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1185" w:type="dxa"/>
            <w:gridSpan w:val="5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228" w:type="dxa"/>
            <w:gridSpan w:val="29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DADOS BANCÁRIOS DO BOLSISTA</w:t>
            </w:r>
          </w:p>
        </w:tc>
      </w:tr>
      <w:tr>
        <w:trPr/>
        <w:tc>
          <w:tcPr>
            <w:tcW w:w="110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BANCO</w:t>
            </w:r>
          </w:p>
        </w:tc>
        <w:tc>
          <w:tcPr>
            <w:tcW w:w="8304" w:type="dxa"/>
            <w:gridSpan w:val="3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AGENCIA</w:t>
            </w:r>
          </w:p>
        </w:tc>
        <w:tc>
          <w:tcPr>
            <w:tcW w:w="3045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CONTA CORRENTE</w:t>
            </w:r>
          </w:p>
        </w:tc>
        <w:tc>
          <w:tcPr>
            <w:tcW w:w="2422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9413" w:type="dxa"/>
            <w:gridSpan w:val="34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413" w:type="dxa"/>
            <w:gridSpan w:val="3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IDENTIFICAÇÃO DO ORIENTADOR</w:t>
            </w:r>
          </w:p>
        </w:tc>
      </w:tr>
      <w:tr>
        <w:trPr/>
        <w:tc>
          <w:tcPr>
            <w:tcW w:w="114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NOME</w:t>
            </w:r>
          </w:p>
        </w:tc>
        <w:tc>
          <w:tcPr>
            <w:tcW w:w="5442" w:type="dxa"/>
            <w:gridSpan w:val="2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6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CPF</w:t>
            </w:r>
          </w:p>
        </w:tc>
        <w:tc>
          <w:tcPr>
            <w:tcW w:w="205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RG</w:t>
            </w:r>
          </w:p>
        </w:tc>
        <w:tc>
          <w:tcPr>
            <w:tcW w:w="2187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95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ÓRGÃO EMISSOR</w:t>
            </w:r>
          </w:p>
        </w:tc>
        <w:tc>
          <w:tcPr>
            <w:tcW w:w="2862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4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UF</w:t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57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ENDEREÇO</w:t>
            </w:r>
          </w:p>
        </w:tc>
        <w:tc>
          <w:tcPr>
            <w:tcW w:w="6026" w:type="dxa"/>
            <w:gridSpan w:val="2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Nº</w:t>
            </w:r>
          </w:p>
        </w:tc>
        <w:tc>
          <w:tcPr>
            <w:tcW w:w="12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5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COMPLEMENTO</w:t>
            </w:r>
          </w:p>
        </w:tc>
        <w:tc>
          <w:tcPr>
            <w:tcW w:w="7118" w:type="dxa"/>
            <w:gridSpan w:val="2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8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CEP</w:t>
            </w:r>
          </w:p>
        </w:tc>
        <w:tc>
          <w:tcPr>
            <w:tcW w:w="185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8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CIDADE</w:t>
            </w:r>
          </w:p>
        </w:tc>
        <w:tc>
          <w:tcPr>
            <w:tcW w:w="291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2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ESTADO</w:t>
            </w:r>
          </w:p>
        </w:tc>
        <w:tc>
          <w:tcPr>
            <w:tcW w:w="103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2295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DEPARTAMENTO</w:t>
            </w:r>
          </w:p>
        </w:tc>
        <w:tc>
          <w:tcPr>
            <w:tcW w:w="2248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8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CURSO</w:t>
            </w:r>
          </w:p>
        </w:tc>
        <w:tc>
          <w:tcPr>
            <w:tcW w:w="3788" w:type="dxa"/>
            <w:gridSpan w:val="1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576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TELEFONE</w:t>
            </w:r>
          </w:p>
        </w:tc>
        <w:tc>
          <w:tcPr>
            <w:tcW w:w="2656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3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pt-BR" w:bidi="ar-SA"/>
              </w:rPr>
              <w:t>EMAIL</w:t>
            </w:r>
          </w:p>
        </w:tc>
        <w:tc>
          <w:tcPr>
            <w:tcW w:w="4149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Ttulo1"/>
        <w:spacing w:lineRule="auto" w:line="360" w:beforeAutospacing="0" w:before="0" w:after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Por este instrumento, o bolsista e o professor orientador acima qualificados declaram ter ciência das obrigações inerentes à qualidade de beneficiário de bolsa, conforme o regulamento vigente do Programa 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z w:val="24"/>
          <w:szCs w:val="24"/>
        </w:rPr>
        <w:t>n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sz w:val="24"/>
          <w:szCs w:val="24"/>
        </w:rPr>
        <w:t>titu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z w:val="24"/>
          <w:szCs w:val="24"/>
        </w:rPr>
        <w:t>on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b w:val="false"/>
          <w:sz w:val="24"/>
          <w:szCs w:val="24"/>
        </w:rPr>
        <w:t>l de B</w:t>
      </w:r>
      <w:r>
        <w:rPr>
          <w:rFonts w:cs="Times New Roman" w:ascii="Times New Roman" w:hAnsi="Times New Roman"/>
          <w:b w:val="false"/>
          <w:spacing w:val="-3"/>
          <w:sz w:val="24"/>
          <w:szCs w:val="24"/>
        </w:rPr>
        <w:t>o</w:t>
      </w:r>
      <w:r>
        <w:rPr>
          <w:rFonts w:cs="Times New Roman" w:ascii="Times New Roman" w:hAnsi="Times New Roman"/>
          <w:b w:val="false"/>
          <w:sz w:val="24"/>
          <w:szCs w:val="24"/>
        </w:rPr>
        <w:t>l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s de 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z w:val="24"/>
          <w:szCs w:val="24"/>
        </w:rPr>
        <w:t>ni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çã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o 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e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m 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D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e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e</w:t>
      </w:r>
      <w:r>
        <w:rPr>
          <w:rFonts w:cs="Times New Roman" w:ascii="Times New Roman" w:hAnsi="Times New Roman"/>
          <w:b w:val="false"/>
          <w:sz w:val="24"/>
          <w:szCs w:val="24"/>
        </w:rPr>
        <w:t>n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b w:val="false"/>
          <w:sz w:val="24"/>
          <w:szCs w:val="24"/>
        </w:rPr>
        <w:t>ol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b w:val="false"/>
          <w:sz w:val="24"/>
          <w:szCs w:val="24"/>
        </w:rPr>
        <w:t>im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e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to 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ec</w:t>
      </w:r>
      <w:r>
        <w:rPr>
          <w:rFonts w:cs="Times New Roman" w:ascii="Times New Roman" w:hAnsi="Times New Roman"/>
          <w:b w:val="false"/>
          <w:sz w:val="24"/>
          <w:szCs w:val="24"/>
        </w:rPr>
        <w:t>no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b w:val="false"/>
          <w:sz w:val="24"/>
          <w:szCs w:val="24"/>
        </w:rPr>
        <w:t>ó</w:t>
      </w:r>
      <w:r>
        <w:rPr>
          <w:rFonts w:cs="Times New Roman" w:ascii="Times New Roman" w:hAnsi="Times New Roman"/>
          <w:b w:val="false"/>
          <w:spacing w:val="8"/>
          <w:sz w:val="24"/>
          <w:szCs w:val="24"/>
        </w:rPr>
        <w:t>g</w:t>
      </w:r>
      <w:r>
        <w:rPr>
          <w:rFonts w:cs="Times New Roman" w:ascii="Times New Roman" w:hAnsi="Times New Roman"/>
          <w:b w:val="false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o e 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z w:val="24"/>
          <w:szCs w:val="24"/>
        </w:rPr>
        <w:t>no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açã</w:t>
      </w:r>
      <w:r>
        <w:rPr>
          <w:rFonts w:cs="Times New Roman" w:ascii="Times New Roman" w:hAnsi="Times New Roman"/>
          <w:b w:val="false"/>
          <w:sz w:val="24"/>
          <w:szCs w:val="24"/>
        </w:rPr>
        <w:t>o (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pacing w:val="2"/>
          <w:sz w:val="24"/>
          <w:szCs w:val="24"/>
        </w:rPr>
        <w:t>B</w:t>
      </w:r>
      <w:r>
        <w:rPr>
          <w:rFonts w:cs="Times New Roman" w:ascii="Times New Roman" w:hAnsi="Times New Roman"/>
          <w:b w:val="false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T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z w:val="24"/>
          <w:szCs w:val="24"/>
        </w:rPr>
        <w:t>/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U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N</w:t>
      </w:r>
      <w:r>
        <w:rPr>
          <w:rFonts w:cs="Times New Roman" w:ascii="Times New Roman" w:hAnsi="Times New Roman"/>
          <w:b w:val="false"/>
          <w:sz w:val="24"/>
          <w:szCs w:val="24"/>
        </w:rPr>
        <w:t>I</w:t>
      </w:r>
      <w:r>
        <w:rPr>
          <w:rFonts w:cs="Times New Roman" w:ascii="Times New Roman" w:hAnsi="Times New Roman"/>
          <w:b w:val="false"/>
          <w:spacing w:val="-3"/>
          <w:sz w:val="24"/>
          <w:szCs w:val="24"/>
        </w:rPr>
        <w:t>F</w:t>
      </w:r>
      <w:r>
        <w:rPr>
          <w:rFonts w:cs="Times New Roman" w:ascii="Times New Roman" w:hAnsi="Times New Roman"/>
          <w:b w:val="false"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b w:val="false"/>
          <w:spacing w:val="-1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sz w:val="24"/>
          <w:szCs w:val="24"/>
        </w:rPr>
        <w:t>). E nesse sentido, comprometem-se a respeitar as seguintes cláusulas: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CLÁUSULA PRIMEIRA – DO OBJETO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right="2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O presente Termo de Compromisso tem por objetivo a regulamentação do Bolsista acima mencionado, aluno regularmente matriculado nesta Universidade e selecionado para participar do Programa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de B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de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e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P, pelo </w:t>
      </w:r>
      <w:r>
        <w:rPr>
          <w:rFonts w:ascii="Times New Roman" w:hAnsi="Times New Roman"/>
          <w:b/>
          <w:bCs/>
          <w:sz w:val="24"/>
          <w:szCs w:val="24"/>
        </w:rPr>
        <w:t>EDITAL Nº 001/202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- NITT/PROPESPG/UNIFAP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SEGUNDA – DAS NORMAS GERAIS E OPERACIONAIS DO PROGRAMA DE BOLSA DE INICIAÇÃO TECNOLÓGICA E INOVAÇÃO – PIBITI/UNIFAP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2 - O presente programa é concedido e gerenciado de acordo com os critérios constantes no Programa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de B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de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e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açã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P, pelo </w:t>
      </w:r>
      <w:r>
        <w:rPr>
          <w:rFonts w:ascii="Times New Roman" w:hAnsi="Times New Roman"/>
          <w:b/>
          <w:bCs/>
          <w:sz w:val="24"/>
          <w:szCs w:val="24"/>
        </w:rPr>
        <w:t>EDITAL Nº 001/202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- NITT/PROPESPG/UNIFAP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cujo teor está disponível aos bolsistas pela UNIFAP.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TERCEIRA – DAS OBRIGAÇÕES DO BOLSISTA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– Estar regularmente matriculado em curso de graduação na UNIFAP;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– Cumprir as atividades constantes no Plano de Trabalho proposto no ato da inscrição, em jornada de 20 horas semanais;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– Não ter vínculo empregatício, estágio remunerado ou voluntário ou qualquer outra modalidade de bolsa, interna ou externa à UNIFAP, devendo dedicar-se às atividades de pesquisa, conforme proposto no Plano de Trabalho estabelecido por seu orientador;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– Participar dos Seminários de Iniciação Científica, Semana Nacional de Ciência e Tecnologia e eventos científicos da UNIFAP e, caso seja convocado, de cursos, seminários e palestras promovidas pelo Núcleo de Inovação e Transferência de Tecnologia e/ou pelo Departamento de Pesquisa da UNIFAP;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– Fazer referência, em qualquer publicação e trabalho apresentados, a sua condição de bolsista PIBITI/UNIFAP;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– Ap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r relatório parcial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no 7º (sétimo) mês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pós</w:t>
      </w:r>
      <w:r>
        <w:rPr>
          <w:rFonts w:ascii="Times New Roman" w:hAnsi="Times New Roman"/>
          <w:spacing w:val="1"/>
          <w:sz w:val="24"/>
          <w:szCs w:val="24"/>
        </w:rPr>
        <w:t xml:space="preserve"> a vigência </w:t>
      </w:r>
      <w:r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ríodo da bolsa. Caso o bols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 n</w:t>
      </w:r>
      <w:r>
        <w:rPr>
          <w:rFonts w:ascii="Times New Roman" w:hAnsi="Times New Roman"/>
          <w:spacing w:val="-1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o 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nte,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 bolsa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rá sus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nsa;</w:t>
      </w:r>
    </w:p>
    <w:p>
      <w:pPr>
        <w:pStyle w:val="Normal"/>
        <w:spacing w:lineRule="auto" w:line="360"/>
        <w:ind w:right="1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3.7 - </w:t>
      </w:r>
      <w:r>
        <w:rPr>
          <w:rFonts w:ascii="Times New Roman" w:hAnsi="Times New Roman"/>
          <w:sz w:val="24"/>
          <w:szCs w:val="24"/>
        </w:rPr>
        <w:t>Entr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2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rmino da vi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bolsa no prazo de 12 (doze meses), o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latório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inal de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squis</w:t>
      </w:r>
      <w:r>
        <w:rPr>
          <w:rFonts w:ascii="Times New Roman" w:hAnsi="Times New Roman"/>
          <w:spacing w:val="-1"/>
          <w:sz w:val="24"/>
          <w:szCs w:val="24"/>
        </w:rPr>
        <w:t xml:space="preserve">a, acompanhado de parecer do Docente orientador.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 o bo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 n</w:t>
      </w:r>
      <w:r>
        <w:rPr>
          <w:rFonts w:ascii="Times New Roman" w:hAnsi="Times New Roman"/>
          <w:spacing w:val="-1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nte, n</w:t>
      </w:r>
      <w:r>
        <w:rPr>
          <w:rFonts w:ascii="Times New Roman" w:hAnsi="Times New Roman"/>
          <w:spacing w:val="-1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rá con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2"/>
          <w:sz w:val="24"/>
          <w:szCs w:val="24"/>
        </w:rPr>
        <w:t>õ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en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nto dur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a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– O bolsista será selecionado e indicado pelo orientador, em conformidade com o </w:t>
      </w:r>
      <w:r>
        <w:rPr>
          <w:rFonts w:ascii="Times New Roman" w:hAnsi="Times New Roman"/>
          <w:b/>
          <w:sz w:val="24"/>
          <w:szCs w:val="24"/>
        </w:rPr>
        <w:t>EDITAL Nº 001/202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NITT/PROPESPG/UNIFAP;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– </w:t>
      </w:r>
      <w:r>
        <w:rPr>
          <w:rFonts w:ascii="Times New Roman" w:hAnsi="Times New Roman"/>
          <w:b/>
          <w:sz w:val="24"/>
          <w:szCs w:val="24"/>
        </w:rPr>
        <w:t>O bolsista</w:t>
      </w:r>
      <w:r>
        <w:rPr>
          <w:rFonts w:ascii="Times New Roman" w:hAnsi="Times New Roman"/>
          <w:sz w:val="24"/>
          <w:szCs w:val="24"/>
        </w:rPr>
        <w:t xml:space="preserve">, ao assinar o presente Termo de Compromisso, </w:t>
      </w:r>
      <w:r>
        <w:rPr>
          <w:rFonts w:ascii="Times New Roman" w:hAnsi="Times New Roman"/>
          <w:b/>
          <w:sz w:val="24"/>
          <w:szCs w:val="24"/>
        </w:rPr>
        <w:t>compromete-se a comunicar imediatamente</w:t>
      </w:r>
      <w:r>
        <w:rPr>
          <w:rFonts w:ascii="Times New Roman" w:hAnsi="Times New Roman"/>
          <w:sz w:val="24"/>
          <w:szCs w:val="24"/>
        </w:rPr>
        <w:t xml:space="preserve"> ao Professor Orientador </w:t>
      </w:r>
      <w:r>
        <w:rPr>
          <w:rFonts w:ascii="Times New Roman" w:hAnsi="Times New Roman"/>
          <w:b/>
          <w:sz w:val="24"/>
          <w:szCs w:val="24"/>
        </w:rPr>
        <w:t>se vier a assumir qualquer compromisso formal remunerado externo ao Programa</w:t>
      </w:r>
      <w:r>
        <w:rPr>
          <w:rFonts w:ascii="Times New Roman" w:hAnsi="Times New Roman"/>
          <w:sz w:val="24"/>
          <w:szCs w:val="24"/>
        </w:rPr>
        <w:t>. O comunicado deve se dar com antecedência mínima de 15 (quinze) dias do desligamento do Programa Institucional de Bolsas de Iniciação Tecnológica e Inovação PIBITI 2021/2022. O não cumprimento deste item acarretará o cancelamento da cota de bolsa para o Orientador.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 – </w:t>
      </w:r>
      <w:r>
        <w:rPr>
          <w:rFonts w:ascii="Times New Roman" w:hAnsi="Times New Roman"/>
          <w:b/>
          <w:sz w:val="24"/>
          <w:szCs w:val="24"/>
        </w:rPr>
        <w:t>Ao bolsista não é permitido acumular outras bolsas</w:t>
      </w:r>
      <w:r>
        <w:rPr>
          <w:rFonts w:ascii="Times New Roman" w:hAnsi="Times New Roman"/>
          <w:sz w:val="24"/>
          <w:szCs w:val="24"/>
        </w:rPr>
        <w:t xml:space="preserve"> de programas de fomento da UNIFAP ou provenientes de outras instituições, devendo dedicar-se às atividades acadêmicas e de pesquisa, conforme proposto no Plano de Trabalho estabelecido por seu orientador.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– O bolsista compromete-se, após aprovação da cota e indicação do Orientador a: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3.11.1 – </w:t>
      </w:r>
      <w:r>
        <w:rPr>
          <w:rFonts w:ascii="Times New Roman" w:hAnsi="Times New Roman"/>
          <w:b/>
          <w:bCs/>
          <w:sz w:val="24"/>
          <w:szCs w:val="24"/>
        </w:rPr>
        <w:t>Atualizar seu Currículo Lattes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3.11.2 – </w:t>
      </w:r>
      <w:r>
        <w:rPr>
          <w:rFonts w:ascii="Times New Roman" w:hAnsi="Times New Roman"/>
          <w:b/>
          <w:bCs/>
          <w:sz w:val="24"/>
          <w:szCs w:val="24"/>
        </w:rPr>
        <w:t>Assinar o Termo de Compromisso</w:t>
      </w:r>
      <w:r>
        <w:rPr>
          <w:rFonts w:ascii="Times New Roman" w:hAnsi="Times New Roman"/>
          <w:b/>
          <w:sz w:val="24"/>
          <w:szCs w:val="24"/>
        </w:rPr>
        <w:t xml:space="preserve"> da bolsa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3.11.3 – </w:t>
      </w:r>
      <w:r>
        <w:rPr>
          <w:rFonts w:ascii="Times New Roman" w:hAnsi="Times New Roman"/>
          <w:b/>
          <w:sz w:val="24"/>
          <w:szCs w:val="24"/>
        </w:rPr>
        <w:t>Assinar o Termo de Sigilo e Confidencialidade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3.11.4 – O bolsista deve devolver à UNIFAP, em valores atualizados, a(s) mensalidade(s) recebida(s) indevidamente, caso os requisitos e compromissos estabelecidos acima não sejam cumpridos.</w:t>
      </w:r>
    </w:p>
    <w:p>
      <w:pPr>
        <w:pStyle w:val="Normal"/>
        <w:spacing w:lineRule="auto" w:line="360"/>
        <w:ind w:right="1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3.11.5 - Entr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a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mês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té o 3º (terceiro) dia ú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il do mês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CLÁUSULA QUARTA: DO PROJETO E OBRIGAÇÕES LEGAIS DO DOCENTE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– Conhecer e obedecer a Política Institucional de Inovação da Unifap – Resolução nº 25/2018 – CONSU/UNIFAP, de 24 de julho de 2018.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4.2 - Orientar-se, junto ao Núcleo de Inovação e Transferência de Tecnologia (NITT) da UNIFAP, sobre as medidas a serem adotadas no caso de projetos cujos resultados sejam passíveis de proteção, antes da publicação dos trabalhos, conforme Lei de Inovação n. 10.973, de 02.12.2004, Novo Marco Legal da Inovação: Lei n. 13.243, de 11/01/2016, e Resolução nº 25/2018 – CONSU/UNIFAP, de 24/07/2018.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4.3 - Solicitar à Coordenação do Programa, com a devida antecedência, a dispensa de obrigatoriedade do aluno/bolsista apresentar os resultados de seu trabalho em evento da UNIFAP organizado para este fim, mediante justificativa pautada pela manutenção de sigilo e/ou proteção dos resultados do trabalho.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O docente, para a execução do projeto e quando necessário, está ciente e se responsabilizará pelos seguintes documentos: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Solicitação de autorização no </w:t>
      </w:r>
      <w:r>
        <w:rPr>
          <w:rFonts w:ascii="Times New Roman" w:hAnsi="Times New Roman"/>
          <w:sz w:val="24"/>
          <w:szCs w:val="24"/>
          <w:shd w:fill="FFFFFF" w:val="clear"/>
        </w:rPr>
        <w:t>Sistema de Autorização e Informação em Biodiversidade (</w:t>
      </w:r>
      <w:r>
        <w:rPr>
          <w:rFonts w:ascii="Times New Roman" w:hAnsi="Times New Roman"/>
          <w:sz w:val="24"/>
          <w:szCs w:val="24"/>
        </w:rPr>
        <w:t>SISBIO), disponível no endereço http://www.ibama.gov.br/sisbio/sistema/, quando necessário.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Encaminhamento do projeto de pesquisa para um Comitê de Ética, quando necessário; 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Encaminhamento do projeto de pesquisa para o Comitê de Ética no Uso de Animais (CEUA/UNIFAP), quando necessário;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Solicitação ou certificado de Qualidade em Biossegurança, conforme Lei n. 8974/1995 e Decreto n. 1752/1995, quando necessário;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Autorização de Organização Indígena, Comunidade Indígena e/ou FUNAI quando se tratar de pesquisas em terras indígenas;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Autorização da comunidade quando se tratar de pesquisa (s) em área de comunidades tradicionais.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Cadastro da pesquisa no Sistema Nacional de Gestão do Patrimônio Genético e do Conhecimento Tradicional Associado - SISGEN, quando necessário.</w:t>
      </w:r>
    </w:p>
    <w:p>
      <w:pPr>
        <w:pStyle w:val="Normal"/>
        <w:tabs>
          <w:tab w:val="clear" w:pos="709"/>
          <w:tab w:val="left" w:pos="8789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QUINTA – DA DURAÇÃO DA BOLSA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5 - A bolsa será concedida por um período de 12 (dozes) meses, com vigência de 01 de Setembro de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 31 de Agosto de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CLÁUSULA SEXTA – DA INADIMPLÊNCIA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6 - O bolsista será considerado inadimplente junto ao Programa Institucional de Bolsas de Iniciação Tecnológica e Inovação PIBITI/UNIFAP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na situação de não cumprimento do prazo estabelecido para entrega do relatório final, relatando as atividades exercidas. A inadimplência acarreta a impossibilidade de o estudante e o orientador concorrerem novamente à bolsa de Iniciação Científica (IC) e/ou Iniciação Tecnológica e Inovação (ITI) em todos os Editais de Bolsas Institucionais no exercício seguinte.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Declaramos a ciência de que a bolsa de Iniciação Tecnológica e Inovação PIBITI/UNIFAP – NITT/PROPESPG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não constitui vínculo empregatício com a UNIFAP.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Macapá,    de                 de 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>
        <w:rPr>
          <w:rFonts w:ascii="Times New Roman" w:hAnsi="Times New Roman"/>
          <w:sz w:val="24"/>
          <w:szCs w:val="24"/>
        </w:rPr>
        <w:t xml:space="preserve">e assinatura </w:t>
      </w:r>
      <w:r>
        <w:rPr>
          <w:rFonts w:ascii="Times New Roman" w:hAnsi="Times New Roman"/>
          <w:sz w:val="24"/>
          <w:szCs w:val="24"/>
        </w:rPr>
        <w:t>do Bolsista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>
        <w:rPr>
          <w:rFonts w:ascii="Times New Roman" w:hAnsi="Times New Roman"/>
          <w:sz w:val="24"/>
          <w:szCs w:val="24"/>
        </w:rPr>
        <w:t xml:space="preserve">e assinatura </w:t>
      </w:r>
      <w:r>
        <w:rPr>
          <w:rFonts w:ascii="Times New Roman" w:hAnsi="Times New Roman"/>
          <w:sz w:val="24"/>
          <w:szCs w:val="24"/>
        </w:rPr>
        <w:t>do Professor Orientador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Orientações:</w:t>
      </w:r>
    </w:p>
    <w:p>
      <w:pPr>
        <w:pStyle w:val="Normal"/>
        <w:rPr/>
      </w:pPr>
      <w:r>
        <w:rPr/>
        <w:t xml:space="preserve">1 - </w:t>
      </w:r>
      <w:r>
        <w:rPr/>
        <w:t>Digitar os nomes dos signatários no rodapé de todas as páginas do Termo.</w:t>
      </w:r>
    </w:p>
    <w:p>
      <w:pPr>
        <w:pStyle w:val="Normal"/>
        <w:rPr/>
      </w:pPr>
      <w:r>
        <w:rPr/>
        <w:t>2 - Assinar de próprio punho ou pelo SouGov. Não serão aceitas assinaturas digitalizadas.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3- Entregar, junto com 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termo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cópia dos seguintes documentos: RG e dados bancários do bolsista.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2149" w:footer="1440" w:bottom="158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nThickSmallGap" w:sz="24" w:space="1" w:color="622423"/>
      </w:pBdr>
      <w:rPr>
        <w:sz w:val="20"/>
        <w:szCs w:val="20"/>
      </w:rPr>
    </w:pPr>
    <w:r>
      <w:rPr>
        <w:color w:val="000000"/>
        <w:spacing w:val="-3"/>
        <w:sz w:val="20"/>
        <w:szCs w:val="20"/>
      </w:rPr>
      <w:t>EDITAL Nº 001/202</w:t>
    </w:r>
    <w:r>
      <w:rPr>
        <w:rFonts w:eastAsia="Times New Roman" w:cs="Times New Roman"/>
        <w:color w:val="000000"/>
        <w:spacing w:val="-3"/>
        <w:kern w:val="0"/>
        <w:sz w:val="20"/>
        <w:szCs w:val="20"/>
        <w:lang w:val="pt-BR" w:eastAsia="pt-BR" w:bidi="ar-SA"/>
      </w:rPr>
      <w:t>2</w:t>
    </w:r>
    <w:r>
      <w:rPr>
        <w:color w:val="000000"/>
        <w:spacing w:val="-3"/>
        <w:sz w:val="20"/>
        <w:szCs w:val="20"/>
      </w:rPr>
      <w:t xml:space="preserve"> – NITT/PROPESPG/UNIFAP – PIBITI 202</w:t>
    </w:r>
    <w:r>
      <w:rPr>
        <w:color w:val="000000"/>
        <w:spacing w:val="-3"/>
        <w:sz w:val="20"/>
        <w:szCs w:val="20"/>
      </w:rPr>
      <w:t>2</w:t>
    </w:r>
    <w:r>
      <w:rPr>
        <w:color w:val="000000"/>
        <w:spacing w:val="-3"/>
        <w:sz w:val="20"/>
        <w:szCs w:val="20"/>
      </w:rPr>
      <w:t>-202</w:t>
    </w:r>
    <w:r>
      <w:rPr>
        <w:color w:val="000000"/>
        <w:spacing w:val="-3"/>
        <w:sz w:val="20"/>
        <w:szCs w:val="20"/>
      </w:rPr>
      <w:t>3</w:t>
    </w:r>
    <w:r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-193675</wp:posOffset>
          </wp:positionH>
          <wp:positionV relativeFrom="paragraph">
            <wp:posOffset>-599440</wp:posOffset>
          </wp:positionV>
          <wp:extent cx="6119495" cy="8902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d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e70df0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e70df0"/>
    <w:rPr>
      <w:b/>
      <w:bCs/>
    </w:rPr>
  </w:style>
  <w:style w:type="character" w:styleId="Corpodetexto2Char" w:customStyle="1">
    <w:name w:val="Corpo de texto 2 Char"/>
    <w:basedOn w:val="DefaultParagraphFont"/>
    <w:link w:val="Corpodetexto2"/>
    <w:qFormat/>
    <w:rsid w:val="00c807fb"/>
    <w:rPr>
      <w:rFonts w:ascii="Arial" w:hAnsi="Arial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67602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67602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0f0d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e70df0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">
    <w:name w:val="Body Text 2"/>
    <w:basedOn w:val="Normal"/>
    <w:link w:val="Corpodetexto2Char"/>
    <w:qFormat/>
    <w:rsid w:val="00c807fb"/>
    <w:pPr>
      <w:jc w:val="both"/>
    </w:pPr>
    <w:rPr>
      <w:rFonts w:ascii="Arial" w:hAnsi="Arial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b67602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b67602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a0a9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qFormat/>
    <w:rsid w:val="000f0d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74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LibreOffice/7.1.5.2$Windows_X86_64 LibreOffice_project/85f04e9f809797b8199d13c421bd8a2b025d52b5</Application>
  <AppVersion>15.0000</AppVersion>
  <Pages>6</Pages>
  <Words>1112</Words>
  <Characters>6562</Characters>
  <CharactersWithSpaces>7635</CharactersWithSpaces>
  <Paragraphs>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2021-08-30T21:00:00Z</dcterms:created>
  <dc:creator>departamento de pesquisa</dc:creator>
  <dc:description/>
  <dc:language>pt-BR</dc:language>
  <cp:lastModifiedBy/>
  <cp:lastPrinted>2016-07-21T19:02:00Z</cp:lastPrinted>
  <dcterms:modified xsi:type="dcterms:W3CDTF">2022-09-02T17:16:51Z</dcterms:modified>
  <cp:revision>16</cp:revision>
  <dc:subject/>
  <dc:title>UNIVESIDADE FEDERAL DO AMAPÁ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