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F04DCE" w:rsidRDefault="006A643C" w:rsidP="00F04DCE">
      <w:pPr>
        <w:autoSpaceDE w:val="0"/>
        <w:autoSpaceDN w:val="0"/>
        <w:adjustRightInd w:val="0"/>
        <w:spacing w:after="0" w:line="240" w:lineRule="auto"/>
        <w:rPr>
          <w:rFonts w:cs="TitilliumWeb-Bold"/>
          <w:b/>
          <w:bCs/>
          <w:sz w:val="24"/>
          <w:szCs w:val="24"/>
        </w:rPr>
      </w:pPr>
      <w:bookmarkStart w:id="0" w:name="_GoBack"/>
      <w:bookmarkEnd w:id="0"/>
      <w:r>
        <w:rPr>
          <w:rFonts w:cs="TitilliumWeb-Bold"/>
          <w:b/>
          <w:bCs/>
          <w:sz w:val="24"/>
          <w:szCs w:val="24"/>
        </w:rPr>
        <w:t>POLÍTICAS DE ATENDIMENTO AOS DISCENTES</w:t>
      </w:r>
    </w:p>
    <w:p w:rsidR="005C3C3A" w:rsidRPr="00251968" w:rsidRDefault="005C3C3A" w:rsidP="005C3C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251968" w:rsidTr="00261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7674F" w:rsidRPr="00251968" w:rsidRDefault="00D7674F" w:rsidP="006807DB">
            <w:pPr>
              <w:jc w:val="center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</w:tcPr>
          <w:p w:rsidR="00D7674F" w:rsidRPr="00251968" w:rsidRDefault="00D7674F" w:rsidP="00680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</w:tcPr>
          <w:p w:rsidR="00D7674F" w:rsidRPr="00251968" w:rsidRDefault="00D7674F" w:rsidP="00680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JUSTIFICATIVA</w:t>
            </w:r>
          </w:p>
        </w:tc>
      </w:tr>
      <w:tr w:rsidR="00D7674F" w:rsidRPr="00251968" w:rsidTr="00261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845FD" w:rsidRPr="000B4017" w:rsidRDefault="004C4B6C" w:rsidP="004C4B6C">
            <w:pPr>
              <w:autoSpaceDE w:val="0"/>
              <w:autoSpaceDN w:val="0"/>
              <w:adjustRightInd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 w:rsidRPr="004C4B6C">
              <w:rPr>
                <w:rFonts w:cs="TitilliumWeb-Bold"/>
                <w:sz w:val="24"/>
                <w:szCs w:val="24"/>
              </w:rPr>
              <w:t>Políticas de</w:t>
            </w:r>
            <w:r>
              <w:rPr>
                <w:rFonts w:cs="TitilliumWeb-Bold"/>
                <w:sz w:val="24"/>
                <w:szCs w:val="24"/>
              </w:rPr>
              <w:t xml:space="preserve"> </w:t>
            </w:r>
            <w:r w:rsidRPr="004C4B6C">
              <w:rPr>
                <w:rFonts w:cs="TitilliumWeb-Bold"/>
                <w:sz w:val="24"/>
                <w:szCs w:val="24"/>
              </w:rPr>
              <w:t>atendimento aos</w:t>
            </w:r>
            <w:r>
              <w:rPr>
                <w:rFonts w:cs="TitilliumWeb-Bold"/>
                <w:sz w:val="24"/>
                <w:szCs w:val="24"/>
              </w:rPr>
              <w:t xml:space="preserve"> </w:t>
            </w:r>
            <w:r w:rsidRPr="004C4B6C">
              <w:rPr>
                <w:rFonts w:cs="TitilliumWeb-Bold"/>
                <w:sz w:val="24"/>
                <w:szCs w:val="24"/>
              </w:rPr>
              <w:t>discentes</w:t>
            </w:r>
          </w:p>
        </w:tc>
        <w:tc>
          <w:tcPr>
            <w:tcW w:w="3260" w:type="dxa"/>
          </w:tcPr>
          <w:p w:rsidR="00D7674F" w:rsidRPr="000B4017" w:rsidRDefault="004C4B6C" w:rsidP="004C4B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4C4B6C">
              <w:rPr>
                <w:rFonts w:cs="TitilliumWeb-Thin"/>
                <w:sz w:val="24"/>
                <w:szCs w:val="24"/>
              </w:rPr>
              <w:t>Programas de apoio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4C4B6C">
              <w:rPr>
                <w:rFonts w:cs="TitilliumWeb-Thin"/>
                <w:sz w:val="24"/>
                <w:szCs w:val="24"/>
              </w:rPr>
              <w:t>pedagógico e financeiro,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4C4B6C">
              <w:rPr>
                <w:rFonts w:cs="TitilliumWeb-Thin"/>
                <w:sz w:val="24"/>
                <w:szCs w:val="24"/>
              </w:rPr>
              <w:t>estímulos à permanência,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4C4B6C">
              <w:rPr>
                <w:rFonts w:cs="TitilliumWeb-Thin"/>
                <w:sz w:val="24"/>
                <w:szCs w:val="24"/>
              </w:rPr>
              <w:t>organização estudantil,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4C4B6C">
              <w:rPr>
                <w:rFonts w:cs="TitilliumWeb-Thin"/>
                <w:sz w:val="24"/>
                <w:szCs w:val="24"/>
              </w:rPr>
              <w:t>acompanhamento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4C4B6C">
              <w:rPr>
                <w:rFonts w:cs="TitilliumWeb-Thin"/>
                <w:sz w:val="24"/>
                <w:szCs w:val="24"/>
              </w:rPr>
              <w:t>dos egressos</w:t>
            </w:r>
            <w:r w:rsidR="000B4017" w:rsidRPr="004C4B6C">
              <w:rPr>
                <w:rFonts w:cs="TitilliumWeb-Thin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D54DAD" w:rsidRPr="00D54DAD" w:rsidRDefault="000B4017" w:rsidP="00D54D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</w:rPr>
            </w:pPr>
            <w:r w:rsidRPr="000B4017">
              <w:rPr>
                <w:rFonts w:cs="TitilliumWeb-Thin"/>
                <w:sz w:val="24"/>
                <w:szCs w:val="24"/>
              </w:rPr>
              <w:t xml:space="preserve">Decreto nº </w:t>
            </w:r>
            <w:r w:rsidR="00D54DAD">
              <w:rPr>
                <w:rFonts w:cs="TitilliumWeb-Thin"/>
                <w:sz w:val="24"/>
                <w:szCs w:val="24"/>
              </w:rPr>
              <w:t>9.235</w:t>
            </w:r>
            <w:r w:rsidRPr="000B4017">
              <w:rPr>
                <w:rFonts w:cs="TitilliumWeb-Thin"/>
                <w:sz w:val="24"/>
                <w:szCs w:val="24"/>
              </w:rPr>
              <w:t>,</w:t>
            </w:r>
            <w:proofErr w:type="gramStart"/>
            <w:r w:rsidR="00D54DAD">
              <w:rPr>
                <w:rFonts w:cs="TitilliumWeb-Thin"/>
                <w:sz w:val="24"/>
                <w:szCs w:val="24"/>
              </w:rPr>
              <w:t xml:space="preserve"> </w:t>
            </w:r>
            <w:r w:rsidR="00D54DAD" w:rsidRPr="00D54DAD">
              <w:rPr>
                <w:rFonts w:eastAsiaTheme="minorEastAsia" w:hAnsi="Calibri"/>
                <w:color w:val="000000" w:themeColor="dark1"/>
                <w:kern w:val="24"/>
                <w:sz w:val="36"/>
                <w:szCs w:val="36"/>
                <w:lang w:eastAsia="pt-BR"/>
              </w:rPr>
              <w:t xml:space="preserve"> </w:t>
            </w:r>
            <w:proofErr w:type="gramEnd"/>
            <w:r w:rsidR="00D54DAD" w:rsidRPr="00D54DAD">
              <w:rPr>
                <w:rFonts w:cs="TitilliumWeb-Thin"/>
              </w:rPr>
              <w:t>Nº 9.235, de 15 de dezembro de 2017</w:t>
            </w:r>
          </w:p>
          <w:p w:rsidR="00D7674F" w:rsidRPr="000B4017" w:rsidRDefault="00D7674F" w:rsidP="000B401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</w:p>
        </w:tc>
      </w:tr>
      <w:tr w:rsidR="00D54DAD" w:rsidRPr="00251968" w:rsidTr="00261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D54DAD" w:rsidRPr="00261DDA" w:rsidRDefault="00D54DAD" w:rsidP="00D54DAD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261DDA">
              <w:rPr>
                <w:rFonts w:cs="TitilliumWeb-Thin"/>
                <w:b w:val="0"/>
                <w:sz w:val="24"/>
                <w:szCs w:val="24"/>
              </w:rPr>
              <w:t xml:space="preserve">Art. 21. VII - organização administrativa da instituição e políticas de gestão, com identificação das formas de participação dos professores, tutores e estudantes nos órgãos colegiados responsáveis pela condução dos assuntos acadêmicos, dos procedimentos de </w:t>
            </w:r>
            <w:proofErr w:type="spellStart"/>
            <w:r w:rsidRPr="00261DDA">
              <w:rPr>
                <w:rFonts w:cs="TitilliumWeb-Thin"/>
                <w:b w:val="0"/>
                <w:sz w:val="24"/>
                <w:szCs w:val="24"/>
              </w:rPr>
              <w:t>autoavaliação</w:t>
            </w:r>
            <w:proofErr w:type="spellEnd"/>
            <w:r w:rsidRPr="00261DDA">
              <w:rPr>
                <w:rFonts w:cs="TitilliumWeb-Thin"/>
                <w:b w:val="0"/>
                <w:sz w:val="24"/>
                <w:szCs w:val="24"/>
              </w:rPr>
              <w:t xml:space="preserve"> institucional e de atendimento aos estudantes, das ações de transparência e divulgação de informações da instituição e das eventuais parcerias e </w:t>
            </w:r>
            <w:proofErr w:type="gramStart"/>
            <w:r w:rsidRPr="00261DDA">
              <w:rPr>
                <w:rFonts w:cs="TitilliumWeb-Thin"/>
                <w:b w:val="0"/>
                <w:sz w:val="24"/>
                <w:szCs w:val="24"/>
              </w:rPr>
              <w:t>compartilhamento de estruturas com outras instituições, demonstrada</w:t>
            </w:r>
            <w:proofErr w:type="gramEnd"/>
            <w:r w:rsidRPr="00261DDA">
              <w:rPr>
                <w:rFonts w:cs="TitilliumWeb-Thin"/>
                <w:b w:val="0"/>
                <w:sz w:val="24"/>
                <w:szCs w:val="24"/>
              </w:rPr>
              <w:t xml:space="preserve"> a capacidade de atendimento dos cursos a serem ofertados;</w:t>
            </w:r>
          </w:p>
        </w:tc>
      </w:tr>
    </w:tbl>
    <w:p w:rsidR="006B145A" w:rsidRPr="00251968" w:rsidRDefault="006B145A">
      <w:pPr>
        <w:rPr>
          <w:b/>
          <w:sz w:val="24"/>
          <w:szCs w:val="24"/>
        </w:rPr>
      </w:pPr>
    </w:p>
    <w:p w:rsidR="000B4017" w:rsidRPr="00C437E2" w:rsidRDefault="00A34E7B" w:rsidP="00A34E7B">
      <w:pPr>
        <w:pStyle w:val="Ttulo1"/>
        <w:numPr>
          <w:ilvl w:val="0"/>
          <w:numId w:val="2"/>
        </w:numPr>
        <w:jc w:val="both"/>
        <w:rPr>
          <w:sz w:val="24"/>
          <w:szCs w:val="24"/>
        </w:rPr>
      </w:pPr>
      <w:r w:rsidRPr="00C437E2">
        <w:rPr>
          <w:bCs w:val="0"/>
          <w:sz w:val="24"/>
          <w:szCs w:val="24"/>
        </w:rPr>
        <w:t>Programas de apoio pedagógico e financeiro (bolsas)</w:t>
      </w:r>
      <w:r w:rsidR="004C4B6C" w:rsidRPr="00C437E2">
        <w:rPr>
          <w:sz w:val="24"/>
          <w:szCs w:val="24"/>
        </w:rPr>
        <w:t>.</w:t>
      </w:r>
    </w:p>
    <w:p w:rsidR="00A34E7B" w:rsidRPr="00A34E7B" w:rsidRDefault="00A34E7B" w:rsidP="00A3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7B">
        <w:rPr>
          <w:rFonts w:ascii="Times New Roman" w:hAnsi="Times New Roman" w:cs="Times New Roman"/>
          <w:color w:val="FF0000"/>
          <w:sz w:val="24"/>
          <w:szCs w:val="24"/>
        </w:rPr>
        <w:t>&lt;Descrição de todos os programas de apoio pedagógico e financeiro voltados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4E7B">
        <w:rPr>
          <w:rFonts w:ascii="Times New Roman" w:hAnsi="Times New Roman" w:cs="Times New Roman"/>
          <w:color w:val="FF0000"/>
          <w:sz w:val="24"/>
          <w:szCs w:val="24"/>
        </w:rPr>
        <w:t>para o atendimento aos estudantes, evidenciando dados quantitativos.</w:t>
      </w:r>
      <w:proofErr w:type="gramStart"/>
      <w:r w:rsidRPr="00A34E7B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Pr="00251968" w:rsidRDefault="00A34E7B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B15722">
        <w:tc>
          <w:tcPr>
            <w:tcW w:w="8644" w:type="dxa"/>
          </w:tcPr>
          <w:p w:rsidR="00A34E7B" w:rsidRDefault="00A34E7B" w:rsidP="00A34E7B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Default="00A34E7B" w:rsidP="00A34E7B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Default="00A34E7B" w:rsidP="00A34E7B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Default="00A34E7B" w:rsidP="00A34E7B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Pr="00A34E7B" w:rsidRDefault="00A34E7B" w:rsidP="00A34E7B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  <w:r w:rsidRPr="00A34E7B">
              <w:rPr>
                <w:rFonts w:ascii="TitilliumWeb-SemiBold" w:hAnsi="TitilliumWeb-SemiBold" w:cs="TitilliumWeb-SemiBold"/>
                <w:b/>
                <w:bCs/>
                <w:color w:val="000000"/>
              </w:rPr>
              <w:t>Estímulos à permanência</w:t>
            </w:r>
          </w:p>
          <w:p w:rsidR="00A34E7B" w:rsidRDefault="00A34E7B" w:rsidP="00A34E7B">
            <w:pPr>
              <w:autoSpaceDE w:val="0"/>
              <w:autoSpaceDN w:val="0"/>
              <w:adjustRightInd w:val="0"/>
              <w:rPr>
                <w:rFonts w:ascii="TitilliumWeb-Thin" w:hAnsi="TitilliumWeb-Thin" w:cs="TitilliumWeb-Thin"/>
                <w:color w:val="FF0000"/>
              </w:rPr>
            </w:pPr>
          </w:p>
          <w:p w:rsidR="00A34E7B" w:rsidRDefault="00A34E7B" w:rsidP="00A3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&lt;Descrição dos programas de nivelamento e de atendimento psicopedagógico,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critérios de participação e análise quantitativa.</w:t>
            </w:r>
            <w:proofErr w:type="gramStart"/>
            <w:r w:rsidRPr="00A3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  <w:proofErr w:type="gramEnd"/>
          </w:p>
          <w:p w:rsidR="00A34E7B" w:rsidRPr="00251968" w:rsidRDefault="00A34E7B" w:rsidP="00A34E7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Default="00A34E7B" w:rsidP="000E2776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Pr="00A34E7B" w:rsidRDefault="00A34E7B" w:rsidP="000E2776">
            <w:pPr>
              <w:pStyle w:val="PargrafodaLista"/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</w:p>
          <w:p w:rsidR="00A34E7B" w:rsidRPr="00A34E7B" w:rsidRDefault="00A34E7B" w:rsidP="00C437E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tilliumWeb-SemiBold" w:hAnsi="TitilliumWeb-SemiBold" w:cs="TitilliumWeb-SemiBold"/>
                <w:b/>
                <w:bCs/>
                <w:color w:val="000000"/>
              </w:rPr>
            </w:pPr>
            <w:r>
              <w:rPr>
                <w:rFonts w:ascii="TitilliumWeb-SemiBold" w:hAnsi="TitilliumWeb-SemiBold" w:cs="TitilliumWeb-SemiBold"/>
                <w:b/>
                <w:bCs/>
                <w:color w:val="000000"/>
              </w:rPr>
              <w:t>Organização Estudantil</w:t>
            </w:r>
          </w:p>
          <w:p w:rsidR="00A34E7B" w:rsidRDefault="00A34E7B" w:rsidP="000E2776">
            <w:pPr>
              <w:autoSpaceDE w:val="0"/>
              <w:autoSpaceDN w:val="0"/>
              <w:adjustRightInd w:val="0"/>
              <w:rPr>
                <w:rFonts w:ascii="TitilliumWeb-Thin" w:hAnsi="TitilliumWeb-Thin" w:cs="TitilliumWeb-Thin"/>
                <w:color w:val="FF0000"/>
              </w:rPr>
            </w:pPr>
          </w:p>
          <w:p w:rsidR="00A34E7B" w:rsidRPr="00A34E7B" w:rsidRDefault="00A34E7B" w:rsidP="00A3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&lt;Descrição dos espaços para participação e convivência estudantil, bem como dos órgãos de representatividade discente.</w:t>
            </w:r>
            <w:proofErr w:type="gramStart"/>
            <w:r w:rsidRPr="00A3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  <w:proofErr w:type="gramEnd"/>
          </w:p>
          <w:p w:rsidR="00A34E7B" w:rsidRPr="00251968" w:rsidRDefault="00A34E7B" w:rsidP="000E27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A34E7B" w:rsidRPr="00251968" w:rsidTr="000E2776">
        <w:tc>
          <w:tcPr>
            <w:tcW w:w="8644" w:type="dxa"/>
          </w:tcPr>
          <w:p w:rsidR="00A34E7B" w:rsidRPr="00251968" w:rsidRDefault="00A34E7B" w:rsidP="000E2776">
            <w:pPr>
              <w:rPr>
                <w:b/>
                <w:sz w:val="24"/>
                <w:szCs w:val="24"/>
              </w:rPr>
            </w:pPr>
          </w:p>
        </w:tc>
      </w:tr>
    </w:tbl>
    <w:p w:rsidR="00C437E2" w:rsidRPr="00A34E7B" w:rsidRDefault="00C437E2" w:rsidP="00C437E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Organização Estudantil</w:t>
      </w:r>
    </w:p>
    <w:p w:rsidR="00C437E2" w:rsidRDefault="00C437E2" w:rsidP="00C437E2">
      <w:pPr>
        <w:autoSpaceDE w:val="0"/>
        <w:autoSpaceDN w:val="0"/>
        <w:adjustRightInd w:val="0"/>
        <w:rPr>
          <w:rFonts w:ascii="TitilliumWeb-Thin" w:hAnsi="TitilliumWeb-Thin" w:cs="TitilliumWeb-Thin"/>
          <w:color w:val="FF0000"/>
        </w:rPr>
      </w:pPr>
    </w:p>
    <w:p w:rsidR="00C437E2" w:rsidRPr="00A34E7B" w:rsidRDefault="00C437E2" w:rsidP="00C43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4E7B">
        <w:rPr>
          <w:rFonts w:ascii="Times New Roman" w:hAnsi="Times New Roman" w:cs="Times New Roman"/>
          <w:color w:val="FF0000"/>
          <w:sz w:val="24"/>
          <w:szCs w:val="24"/>
        </w:rPr>
        <w:t>&lt;Descrição dos espaços para participação e convivência estudantil, bem como dos órgãos de representatividade discente.</w:t>
      </w:r>
      <w:proofErr w:type="gramStart"/>
      <w:r w:rsidRPr="00A34E7B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  <w:tr w:rsidR="00C437E2" w:rsidRPr="00251968" w:rsidTr="000E2776">
        <w:tc>
          <w:tcPr>
            <w:tcW w:w="8644" w:type="dxa"/>
          </w:tcPr>
          <w:p w:rsidR="00C437E2" w:rsidRPr="00251968" w:rsidRDefault="00C437E2" w:rsidP="000E2776">
            <w:pPr>
              <w:rPr>
                <w:b/>
                <w:sz w:val="24"/>
                <w:szCs w:val="24"/>
              </w:rPr>
            </w:pPr>
          </w:p>
        </w:tc>
      </w:tr>
    </w:tbl>
    <w:p w:rsidR="00C437E2" w:rsidRDefault="00C437E2" w:rsidP="00C437E2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</w:rPr>
        <w:sectPr w:rsidR="00C437E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A7194" w:rsidRPr="00232775" w:rsidRDefault="003A7194" w:rsidP="003A7194">
      <w:pPr>
        <w:pStyle w:val="PargrafodaLista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232775">
        <w:rPr>
          <w:rFonts w:cs="Times New Roman"/>
          <w:b/>
          <w:bCs/>
          <w:sz w:val="24"/>
          <w:szCs w:val="24"/>
        </w:rPr>
        <w:lastRenderedPageBreak/>
        <w:t xml:space="preserve">Objetivos, indicadores e </w:t>
      </w:r>
      <w:proofErr w:type="gramStart"/>
      <w:r w:rsidRPr="00232775">
        <w:rPr>
          <w:rFonts w:cs="Times New Roman"/>
          <w:b/>
          <w:bCs/>
          <w:sz w:val="24"/>
          <w:szCs w:val="24"/>
        </w:rPr>
        <w:t>metas</w:t>
      </w:r>
      <w:proofErr w:type="gramEnd"/>
    </w:p>
    <w:tbl>
      <w:tblPr>
        <w:tblStyle w:val="GradeClara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131"/>
        <w:gridCol w:w="1323"/>
        <w:gridCol w:w="955"/>
        <w:gridCol w:w="955"/>
        <w:gridCol w:w="945"/>
        <w:gridCol w:w="945"/>
        <w:gridCol w:w="935"/>
        <w:gridCol w:w="993"/>
        <w:gridCol w:w="631"/>
        <w:gridCol w:w="632"/>
        <w:gridCol w:w="917"/>
        <w:gridCol w:w="801"/>
        <w:gridCol w:w="830"/>
        <w:gridCol w:w="945"/>
      </w:tblGrid>
      <w:tr w:rsidR="003A7194" w:rsidTr="000E2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 w:val="restart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rPr>
                <w:b w:val="0"/>
              </w:rPr>
            </w:pPr>
            <w:r w:rsidRPr="00BF2820">
              <w:t xml:space="preserve">Eixo </w:t>
            </w:r>
            <w:r w:rsidRPr="00E901B9">
              <w:rPr>
                <w:sz w:val="20"/>
                <w:szCs w:val="20"/>
              </w:rPr>
              <w:t>estratégico</w:t>
            </w:r>
          </w:p>
        </w:tc>
        <w:tc>
          <w:tcPr>
            <w:tcW w:w="1131" w:type="dxa"/>
            <w:vMerge w:val="restart"/>
            <w:vAlign w:val="center"/>
          </w:tcPr>
          <w:p w:rsidR="003A7194" w:rsidRPr="00E901B9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Objetivos</w:t>
            </w:r>
          </w:p>
        </w:tc>
        <w:tc>
          <w:tcPr>
            <w:tcW w:w="1323" w:type="dxa"/>
            <w:vMerge w:val="restart"/>
            <w:vAlign w:val="center"/>
          </w:tcPr>
          <w:p w:rsidR="003A7194" w:rsidRPr="00E901B9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Perspectiva do BSC</w:t>
            </w:r>
          </w:p>
        </w:tc>
        <w:tc>
          <w:tcPr>
            <w:tcW w:w="3800" w:type="dxa"/>
            <w:gridSpan w:val="4"/>
            <w:vMerge w:val="restart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</w:t>
            </w:r>
          </w:p>
        </w:tc>
        <w:tc>
          <w:tcPr>
            <w:tcW w:w="3191" w:type="dxa"/>
            <w:gridSpan w:val="4"/>
            <w:vMerge w:val="restart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3493" w:type="dxa"/>
            <w:gridSpan w:val="4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Metas</w:t>
            </w: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3A7194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Capital</w:t>
            </w: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Realizado 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Cálculo</w:t>
            </w: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Órgão Responsável</w:t>
            </w:r>
          </w:p>
        </w:tc>
        <w:tc>
          <w:tcPr>
            <w:tcW w:w="917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Esperado</w:t>
            </w:r>
          </w:p>
        </w:tc>
        <w:tc>
          <w:tcPr>
            <w:tcW w:w="801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Mínimo</w:t>
            </w:r>
          </w:p>
        </w:tc>
        <w:tc>
          <w:tcPr>
            <w:tcW w:w="830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Máximo</w:t>
            </w:r>
          </w:p>
        </w:tc>
        <w:tc>
          <w:tcPr>
            <w:tcW w:w="945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Ações</w:t>
            </w: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2820">
              <w:rPr>
                <w:rFonts w:ascii="Times New Roman" w:hAnsi="Times New Roman" w:cs="Times New Roman"/>
                <w:b/>
                <w:sz w:val="14"/>
                <w:szCs w:val="14"/>
              </w:rPr>
              <w:t>Responsável</w:t>
            </w:r>
          </w:p>
        </w:tc>
        <w:tc>
          <w:tcPr>
            <w:tcW w:w="631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Inicio</w:t>
            </w:r>
          </w:p>
        </w:tc>
        <w:tc>
          <w:tcPr>
            <w:tcW w:w="632" w:type="dxa"/>
            <w:vAlign w:val="center"/>
          </w:tcPr>
          <w:p w:rsidR="003A7194" w:rsidRPr="00BF2820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Fim</w:t>
            </w: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7194" w:rsidTr="000E2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A7194" w:rsidRDefault="003A7194" w:rsidP="000E2776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A7194" w:rsidRPr="008974B5" w:rsidRDefault="003A7194" w:rsidP="000E277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4E7B" w:rsidRDefault="003A7194" w:rsidP="003A7194">
      <w:pPr>
        <w:spacing w:before="100" w:beforeAutospacing="1" w:after="100" w:afterAutospacing="1" w:line="240" w:lineRule="auto"/>
        <w:jc w:val="both"/>
        <w:outlineLvl w:val="0"/>
        <w:rPr>
          <w:b/>
          <w:sz w:val="24"/>
          <w:szCs w:val="24"/>
        </w:rPr>
      </w:pPr>
      <w:r w:rsidRPr="008A65DD">
        <w:rPr>
          <w:rFonts w:ascii="Times New Roman" w:hAnsi="Times New Roman" w:cs="Times New Roman"/>
          <w:sz w:val="24"/>
          <w:szCs w:val="24"/>
        </w:rPr>
        <w:t>Nota: Essa tabela deve ser ampliada de acordo com o número de objetivos e metas para cada objetivo e pode ser acrescida em qualquer eixo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DD">
        <w:rPr>
          <w:rFonts w:ascii="Times New Roman" w:hAnsi="Times New Roman" w:cs="Times New Roman"/>
          <w:sz w:val="24"/>
          <w:szCs w:val="24"/>
        </w:rPr>
        <w:t>temático que se mostre pertinente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34E7B" w:rsidSect="00C437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16" w:rsidRDefault="00EE6C16" w:rsidP="00A34E7B">
      <w:pPr>
        <w:spacing w:after="0" w:line="240" w:lineRule="auto"/>
      </w:pPr>
      <w:r>
        <w:separator/>
      </w:r>
    </w:p>
  </w:endnote>
  <w:endnote w:type="continuationSeparator" w:id="0">
    <w:p w:rsidR="00EE6C16" w:rsidRDefault="00EE6C16" w:rsidP="00A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23" w:rsidRDefault="0015572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569FB8" wp14:editId="633A2DBC">
          <wp:simplePos x="0" y="0"/>
          <wp:positionH relativeFrom="column">
            <wp:posOffset>2263140</wp:posOffset>
          </wp:positionH>
          <wp:positionV relativeFrom="paragraph">
            <wp:posOffset>-207010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16" w:rsidRDefault="00EE6C16" w:rsidP="00A34E7B">
      <w:pPr>
        <w:spacing w:after="0" w:line="240" w:lineRule="auto"/>
      </w:pPr>
      <w:r>
        <w:separator/>
      </w:r>
    </w:p>
  </w:footnote>
  <w:footnote w:type="continuationSeparator" w:id="0">
    <w:p w:rsidR="00EE6C16" w:rsidRDefault="00EE6C16" w:rsidP="00A3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7B" w:rsidRDefault="00A34E7B" w:rsidP="00A34E7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503D35F2" wp14:editId="574B5D1B">
          <wp:extent cx="750380" cy="962025"/>
          <wp:effectExtent l="0" t="0" r="0" b="0"/>
          <wp:docPr id="2" name="Imagem 2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E7B" w:rsidRPr="00B51B4F" w:rsidRDefault="00A34E7B" w:rsidP="00A34E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A34E7B" w:rsidRPr="00B51B4F" w:rsidRDefault="00A34E7B" w:rsidP="00A34E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A34E7B" w:rsidRPr="00A34E7B" w:rsidRDefault="00A34E7B" w:rsidP="00A34E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0E7"/>
    <w:multiLevelType w:val="hybridMultilevel"/>
    <w:tmpl w:val="70F28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884"/>
    <w:multiLevelType w:val="hybridMultilevel"/>
    <w:tmpl w:val="E4D2F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1A22"/>
    <w:multiLevelType w:val="hybridMultilevel"/>
    <w:tmpl w:val="469E78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3CA2"/>
    <w:multiLevelType w:val="hybridMultilevel"/>
    <w:tmpl w:val="870ECB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5EA9"/>
    <w:multiLevelType w:val="hybridMultilevel"/>
    <w:tmpl w:val="782EEF2E"/>
    <w:lvl w:ilvl="0" w:tplc="A9827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2D9D"/>
    <w:multiLevelType w:val="hybridMultilevel"/>
    <w:tmpl w:val="7B501A4E"/>
    <w:lvl w:ilvl="0" w:tplc="88521A6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20F14"/>
    <w:rsid w:val="0005029B"/>
    <w:rsid w:val="000B4017"/>
    <w:rsid w:val="00155723"/>
    <w:rsid w:val="001E27BE"/>
    <w:rsid w:val="0020514A"/>
    <w:rsid w:val="00214FE9"/>
    <w:rsid w:val="002327C5"/>
    <w:rsid w:val="00236CDF"/>
    <w:rsid w:val="0024084E"/>
    <w:rsid w:val="00251968"/>
    <w:rsid w:val="00261DDA"/>
    <w:rsid w:val="0026727C"/>
    <w:rsid w:val="00280FE8"/>
    <w:rsid w:val="00307241"/>
    <w:rsid w:val="003A7194"/>
    <w:rsid w:val="003D0049"/>
    <w:rsid w:val="004922AB"/>
    <w:rsid w:val="004C4B6C"/>
    <w:rsid w:val="00525203"/>
    <w:rsid w:val="005353D4"/>
    <w:rsid w:val="005C3C3A"/>
    <w:rsid w:val="00603C8A"/>
    <w:rsid w:val="006A643C"/>
    <w:rsid w:val="006B145A"/>
    <w:rsid w:val="006F13AE"/>
    <w:rsid w:val="006F4323"/>
    <w:rsid w:val="007003F0"/>
    <w:rsid w:val="0078077D"/>
    <w:rsid w:val="007B0572"/>
    <w:rsid w:val="007F1A17"/>
    <w:rsid w:val="00837AAE"/>
    <w:rsid w:val="008E4012"/>
    <w:rsid w:val="009464F8"/>
    <w:rsid w:val="009E3671"/>
    <w:rsid w:val="00A300C6"/>
    <w:rsid w:val="00A34E7B"/>
    <w:rsid w:val="00A65BFF"/>
    <w:rsid w:val="00B15722"/>
    <w:rsid w:val="00B4006C"/>
    <w:rsid w:val="00B83654"/>
    <w:rsid w:val="00B845FD"/>
    <w:rsid w:val="00B94FC9"/>
    <w:rsid w:val="00C160E6"/>
    <w:rsid w:val="00C332D1"/>
    <w:rsid w:val="00C437E2"/>
    <w:rsid w:val="00D00F6B"/>
    <w:rsid w:val="00D44E03"/>
    <w:rsid w:val="00D54DAD"/>
    <w:rsid w:val="00D7674F"/>
    <w:rsid w:val="00DE4934"/>
    <w:rsid w:val="00DE6DEF"/>
    <w:rsid w:val="00E2789C"/>
    <w:rsid w:val="00E80BB0"/>
    <w:rsid w:val="00EB44C6"/>
    <w:rsid w:val="00EB492B"/>
    <w:rsid w:val="00EB54F8"/>
    <w:rsid w:val="00EE6C16"/>
    <w:rsid w:val="00F04DCE"/>
    <w:rsid w:val="00F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E7B"/>
  </w:style>
  <w:style w:type="paragraph" w:styleId="Rodap">
    <w:name w:val="footer"/>
    <w:basedOn w:val="Normal"/>
    <w:link w:val="Rodap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E7B"/>
  </w:style>
  <w:style w:type="paragraph" w:styleId="Textodebalo">
    <w:name w:val="Balloon Text"/>
    <w:basedOn w:val="Normal"/>
    <w:link w:val="TextodebaloChar"/>
    <w:uiPriority w:val="99"/>
    <w:semiHidden/>
    <w:unhideWhenUsed/>
    <w:rsid w:val="00A3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7B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3A7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Mdia1">
    <w:name w:val="Medium Grid 1"/>
    <w:basedOn w:val="Tabelanormal"/>
    <w:uiPriority w:val="67"/>
    <w:rsid w:val="0026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E7B"/>
  </w:style>
  <w:style w:type="paragraph" w:styleId="Rodap">
    <w:name w:val="footer"/>
    <w:basedOn w:val="Normal"/>
    <w:link w:val="RodapChar"/>
    <w:uiPriority w:val="99"/>
    <w:unhideWhenUsed/>
    <w:rsid w:val="00A34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E7B"/>
  </w:style>
  <w:style w:type="paragraph" w:styleId="Textodebalo">
    <w:name w:val="Balloon Text"/>
    <w:basedOn w:val="Normal"/>
    <w:link w:val="TextodebaloChar"/>
    <w:uiPriority w:val="99"/>
    <w:semiHidden/>
    <w:unhideWhenUsed/>
    <w:rsid w:val="00A3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7B"/>
    <w:rPr>
      <w:rFonts w:ascii="Tahoma" w:hAnsi="Tahoma" w:cs="Tahoma"/>
      <w:sz w:val="16"/>
      <w:szCs w:val="16"/>
    </w:rPr>
  </w:style>
  <w:style w:type="table" w:styleId="GradeClara">
    <w:name w:val="Light Grid"/>
    <w:basedOn w:val="Tabelanormal"/>
    <w:uiPriority w:val="62"/>
    <w:rsid w:val="003A71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Mdia1">
    <w:name w:val="Medium Grid 1"/>
    <w:basedOn w:val="Tabelanormal"/>
    <w:uiPriority w:val="67"/>
    <w:rsid w:val="0026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7</cp:revision>
  <dcterms:created xsi:type="dcterms:W3CDTF">2019-03-12T19:58:00Z</dcterms:created>
  <dcterms:modified xsi:type="dcterms:W3CDTF">2019-09-30T15:48:00Z</dcterms:modified>
</cp:coreProperties>
</file>