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ECE0" w14:textId="77777777"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>ATA DA REUNIÃO DO COLEGIADO DO PONTO FOCAL UNIFAP DA REDE PROFNIT PROGRAMA DE PÓS-GRADUAÇÃO EM PROPRIEDADE INTELECTUAL E TRANSFERÊNCIA DE TECNOLOGIA PARA A INOVAÇÃO</w:t>
      </w:r>
    </w:p>
    <w:p w14:paraId="479F01C0" w14:textId="69C67B8B"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DATA: </w:t>
      </w:r>
      <w:r w:rsidR="00F35449">
        <w:rPr>
          <w:sz w:val="24"/>
          <w:szCs w:val="24"/>
        </w:rPr>
        <w:t>06</w:t>
      </w:r>
      <w:r w:rsidRPr="005E3373">
        <w:rPr>
          <w:sz w:val="24"/>
          <w:szCs w:val="24"/>
        </w:rPr>
        <w:t xml:space="preserve"> de </w:t>
      </w:r>
      <w:r w:rsidR="00F35449">
        <w:rPr>
          <w:sz w:val="24"/>
          <w:szCs w:val="24"/>
        </w:rPr>
        <w:t>Março</w:t>
      </w:r>
      <w:r w:rsidR="00763580">
        <w:rPr>
          <w:sz w:val="24"/>
          <w:szCs w:val="24"/>
        </w:rPr>
        <w:t xml:space="preserve"> </w:t>
      </w:r>
      <w:r w:rsidRPr="005E3373">
        <w:rPr>
          <w:sz w:val="24"/>
          <w:szCs w:val="24"/>
        </w:rPr>
        <w:t>de 20</w:t>
      </w:r>
      <w:r w:rsidR="003350F1">
        <w:rPr>
          <w:sz w:val="24"/>
          <w:szCs w:val="24"/>
        </w:rPr>
        <w:t>20</w:t>
      </w:r>
      <w:r w:rsidRPr="005E3373">
        <w:rPr>
          <w:sz w:val="24"/>
          <w:szCs w:val="24"/>
        </w:rPr>
        <w:t>, 14</w:t>
      </w:r>
      <w:r w:rsidR="0021114E">
        <w:rPr>
          <w:sz w:val="24"/>
          <w:szCs w:val="24"/>
        </w:rPr>
        <w:t>:3</w:t>
      </w:r>
      <w:r w:rsidRPr="005E3373">
        <w:rPr>
          <w:sz w:val="24"/>
          <w:szCs w:val="24"/>
        </w:rPr>
        <w:t>0</w:t>
      </w:r>
      <w:r w:rsidR="00F01BFC">
        <w:rPr>
          <w:sz w:val="24"/>
          <w:szCs w:val="24"/>
        </w:rPr>
        <w:t xml:space="preserve"> h</w:t>
      </w:r>
      <w:r w:rsidRPr="005E3373">
        <w:rPr>
          <w:sz w:val="24"/>
          <w:szCs w:val="24"/>
        </w:rPr>
        <w:t xml:space="preserve"> [horário de Brasília] </w:t>
      </w:r>
    </w:p>
    <w:p w14:paraId="3A12FB51" w14:textId="0F560891"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4772D3">
        <w:rPr>
          <w:sz w:val="24"/>
          <w:szCs w:val="24"/>
        </w:rPr>
        <w:t>SAL</w:t>
      </w:r>
      <w:r w:rsidR="00F35449">
        <w:rPr>
          <w:sz w:val="24"/>
          <w:szCs w:val="24"/>
        </w:rPr>
        <w:t>A DE REUNIÕES</w:t>
      </w:r>
      <w:r w:rsidRPr="005E3373">
        <w:rPr>
          <w:sz w:val="24"/>
          <w:szCs w:val="24"/>
        </w:rPr>
        <w:t xml:space="preserve"> – </w:t>
      </w:r>
      <w:r w:rsidR="004772D3">
        <w:rPr>
          <w:sz w:val="24"/>
          <w:szCs w:val="24"/>
        </w:rPr>
        <w:t>BLOCO DE ENGEHARIA ELÉ</w:t>
      </w:r>
      <w:r w:rsidR="00763580">
        <w:rPr>
          <w:sz w:val="24"/>
          <w:szCs w:val="24"/>
        </w:rPr>
        <w:t>T</w:t>
      </w:r>
      <w:r w:rsidR="004772D3">
        <w:rPr>
          <w:sz w:val="24"/>
          <w:szCs w:val="24"/>
        </w:rPr>
        <w:t>RICA</w:t>
      </w:r>
    </w:p>
    <w:p w14:paraId="054020BB" w14:textId="77777777"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14:paraId="0834524B" w14:textId="40A684D9" w:rsidR="00B11B0E" w:rsidRPr="00A06E88" w:rsidRDefault="005E3373" w:rsidP="005E33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5E3373">
        <w:rPr>
          <w:sz w:val="24"/>
          <w:szCs w:val="24"/>
        </w:rPr>
        <w:t xml:space="preserve">Estiveram presentes: </w:t>
      </w:r>
      <w:r w:rsidRPr="00A06E88">
        <w:rPr>
          <w:b/>
          <w:bCs/>
          <w:sz w:val="24"/>
          <w:szCs w:val="24"/>
        </w:rPr>
        <w:t xml:space="preserve">Alaan Ubaiara Brito, Claudio Márcio Campos de Mendonça, </w:t>
      </w:r>
      <w:r w:rsidR="00CF4033" w:rsidRPr="00A06E88">
        <w:rPr>
          <w:b/>
          <w:bCs/>
          <w:sz w:val="24"/>
          <w:szCs w:val="24"/>
        </w:rPr>
        <w:t>Daniel Santiago Chaves Ribeiro</w:t>
      </w:r>
      <w:r w:rsidRPr="00A06E88">
        <w:rPr>
          <w:b/>
          <w:bCs/>
          <w:sz w:val="24"/>
          <w:szCs w:val="24"/>
        </w:rPr>
        <w:t xml:space="preserve">, </w:t>
      </w:r>
      <w:r w:rsidR="0021114E" w:rsidRPr="00A06E88">
        <w:rPr>
          <w:b/>
          <w:bCs/>
          <w:sz w:val="24"/>
          <w:szCs w:val="24"/>
        </w:rPr>
        <w:t>Francisco Tarcísio Alves Junior</w:t>
      </w:r>
      <w:r w:rsidRPr="00A06E88">
        <w:rPr>
          <w:b/>
          <w:bCs/>
          <w:sz w:val="24"/>
          <w:szCs w:val="24"/>
        </w:rPr>
        <w:t xml:space="preserve">, </w:t>
      </w:r>
      <w:r w:rsidR="00C87650" w:rsidRPr="00A06E88">
        <w:rPr>
          <w:b/>
          <w:bCs/>
          <w:sz w:val="24"/>
          <w:szCs w:val="24"/>
        </w:rPr>
        <w:t>Nilmara</w:t>
      </w:r>
      <w:r w:rsidR="00CF4033" w:rsidRPr="00A06E88">
        <w:rPr>
          <w:b/>
          <w:bCs/>
          <w:sz w:val="24"/>
          <w:szCs w:val="24"/>
        </w:rPr>
        <w:t xml:space="preserve"> </w:t>
      </w:r>
      <w:proofErr w:type="spellStart"/>
      <w:r w:rsidR="00CF4033" w:rsidRPr="00A06E88">
        <w:rPr>
          <w:b/>
          <w:bCs/>
          <w:sz w:val="24"/>
          <w:szCs w:val="24"/>
        </w:rPr>
        <w:t>Gurjão</w:t>
      </w:r>
      <w:proofErr w:type="spellEnd"/>
      <w:r w:rsidR="0021114E" w:rsidRPr="00A06E88">
        <w:rPr>
          <w:b/>
          <w:bCs/>
          <w:sz w:val="24"/>
          <w:szCs w:val="24"/>
        </w:rPr>
        <w:t xml:space="preserve">, </w:t>
      </w:r>
      <w:r w:rsidR="00C87650" w:rsidRPr="00A06E88">
        <w:rPr>
          <w:b/>
          <w:bCs/>
          <w:sz w:val="24"/>
          <w:szCs w:val="24"/>
        </w:rPr>
        <w:t>Rafael Pontes</w:t>
      </w:r>
      <w:r w:rsidR="00CF4033" w:rsidRPr="00A06E88">
        <w:rPr>
          <w:b/>
          <w:bCs/>
          <w:sz w:val="24"/>
          <w:szCs w:val="24"/>
        </w:rPr>
        <w:t xml:space="preserve"> Lima</w:t>
      </w:r>
      <w:r w:rsidR="00C87650" w:rsidRPr="00A06E88">
        <w:rPr>
          <w:b/>
          <w:bCs/>
          <w:sz w:val="24"/>
          <w:szCs w:val="24"/>
        </w:rPr>
        <w:t>,</w:t>
      </w:r>
      <w:r w:rsidR="00CF4033" w:rsidRPr="00A06E88">
        <w:rPr>
          <w:b/>
          <w:bCs/>
          <w:sz w:val="24"/>
          <w:szCs w:val="24"/>
        </w:rPr>
        <w:t xml:space="preserve"> </w:t>
      </w:r>
      <w:proofErr w:type="spellStart"/>
      <w:r w:rsidR="0021114E" w:rsidRPr="00A06E88">
        <w:rPr>
          <w:b/>
          <w:bCs/>
          <w:sz w:val="24"/>
          <w:szCs w:val="24"/>
        </w:rPr>
        <w:t>Werbeston</w:t>
      </w:r>
      <w:proofErr w:type="spellEnd"/>
      <w:r w:rsidR="0021114E" w:rsidRPr="00A06E88">
        <w:rPr>
          <w:b/>
          <w:bCs/>
          <w:sz w:val="24"/>
          <w:szCs w:val="24"/>
        </w:rPr>
        <w:t xml:space="preserve"> Douglas de Oliveira</w:t>
      </w:r>
      <w:r w:rsidRPr="00A06E88">
        <w:rPr>
          <w:b/>
          <w:bCs/>
          <w:sz w:val="24"/>
          <w:szCs w:val="24"/>
        </w:rPr>
        <w:t>.</w:t>
      </w:r>
      <w:r w:rsidR="00C87650" w:rsidRPr="00A06E88">
        <w:rPr>
          <w:b/>
          <w:bCs/>
          <w:sz w:val="24"/>
          <w:szCs w:val="24"/>
        </w:rPr>
        <w:t xml:space="preserve"> </w:t>
      </w:r>
      <w:proofErr w:type="spellStart"/>
      <w:r w:rsidR="00CF4033" w:rsidRPr="00A06E88">
        <w:rPr>
          <w:b/>
          <w:bCs/>
          <w:sz w:val="24"/>
          <w:szCs w:val="24"/>
        </w:rPr>
        <w:t>Dilneia</w:t>
      </w:r>
      <w:proofErr w:type="spellEnd"/>
      <w:r w:rsidR="00CF4033" w:rsidRPr="00A06E88">
        <w:rPr>
          <w:b/>
          <w:bCs/>
          <w:sz w:val="24"/>
          <w:szCs w:val="24"/>
        </w:rPr>
        <w:t xml:space="preserve"> </w:t>
      </w:r>
      <w:proofErr w:type="spellStart"/>
      <w:r w:rsidR="00CF4033" w:rsidRPr="00A06E88">
        <w:rPr>
          <w:b/>
          <w:bCs/>
          <w:sz w:val="24"/>
          <w:szCs w:val="24"/>
        </w:rPr>
        <w:t>Rochana</w:t>
      </w:r>
      <w:proofErr w:type="spellEnd"/>
      <w:r w:rsidR="00CF4033" w:rsidRPr="00A06E88">
        <w:rPr>
          <w:b/>
          <w:bCs/>
          <w:sz w:val="24"/>
          <w:szCs w:val="24"/>
        </w:rPr>
        <w:t xml:space="preserve"> Tavares do Couto</w:t>
      </w:r>
      <w:r w:rsidR="007D0B1A" w:rsidRPr="00A06E88">
        <w:rPr>
          <w:b/>
          <w:bCs/>
          <w:sz w:val="24"/>
          <w:szCs w:val="24"/>
        </w:rPr>
        <w:t xml:space="preserve">, </w:t>
      </w:r>
      <w:proofErr w:type="spellStart"/>
      <w:r w:rsidR="007D0B1A" w:rsidRPr="00A06E88">
        <w:rPr>
          <w:b/>
          <w:bCs/>
          <w:sz w:val="24"/>
          <w:szCs w:val="24"/>
        </w:rPr>
        <w:t>Gerciane</w:t>
      </w:r>
      <w:proofErr w:type="spellEnd"/>
      <w:r w:rsidR="00CF4033" w:rsidRPr="00A06E88">
        <w:rPr>
          <w:b/>
          <w:bCs/>
          <w:sz w:val="24"/>
          <w:szCs w:val="24"/>
        </w:rPr>
        <w:t xml:space="preserve"> Cordeiro</w:t>
      </w:r>
      <w:r w:rsidR="00344323" w:rsidRPr="00A06E88">
        <w:rPr>
          <w:b/>
          <w:bCs/>
          <w:sz w:val="24"/>
          <w:szCs w:val="24"/>
        </w:rPr>
        <w:t xml:space="preserve">, </w:t>
      </w:r>
      <w:r w:rsidR="00344323" w:rsidRPr="00A06E88">
        <w:rPr>
          <w:b/>
          <w:bCs/>
          <w:sz w:val="24"/>
          <w:szCs w:val="24"/>
        </w:rPr>
        <w:t>Geraldo Neves de Albuquerque Maranhão</w:t>
      </w:r>
      <w:r w:rsidR="00CF4033" w:rsidRPr="00A06E88">
        <w:rPr>
          <w:b/>
          <w:bCs/>
          <w:sz w:val="24"/>
          <w:szCs w:val="24"/>
        </w:rPr>
        <w:t>.</w:t>
      </w:r>
      <w:r w:rsidR="007D0B1A" w:rsidRPr="00A06E88">
        <w:rPr>
          <w:b/>
          <w:bCs/>
          <w:sz w:val="24"/>
          <w:szCs w:val="24"/>
        </w:rPr>
        <w:t xml:space="preserve"> </w:t>
      </w:r>
    </w:p>
    <w:p w14:paraId="5A45CF1A" w14:textId="77777777" w:rsidR="005E3373" w:rsidRPr="00A06E88" w:rsidRDefault="005E3373" w:rsidP="005E3373">
      <w:pPr>
        <w:spacing w:after="0" w:line="240" w:lineRule="auto"/>
        <w:rPr>
          <w:b/>
          <w:bCs/>
          <w:sz w:val="24"/>
          <w:szCs w:val="24"/>
        </w:rPr>
      </w:pPr>
    </w:p>
    <w:p w14:paraId="0BAEF666" w14:textId="77777777" w:rsidR="0059509C" w:rsidRPr="00906168" w:rsidRDefault="005E3373" w:rsidP="000F1EEE">
      <w:pPr>
        <w:pStyle w:val="PargrafodaLista"/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Foi Pauta da reunião:</w:t>
      </w:r>
      <w:bookmarkStart w:id="0" w:name="_GoBack"/>
      <w:bookmarkEnd w:id="0"/>
    </w:p>
    <w:p w14:paraId="2E8E1690" w14:textId="26388122" w:rsidR="00F35449" w:rsidRDefault="008B7470" w:rsidP="00CF4E3F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7452718"/>
      <w:r w:rsidRPr="008B7470">
        <w:rPr>
          <w:sz w:val="24"/>
          <w:szCs w:val="24"/>
        </w:rPr>
        <w:t>Apreciação de Projeto de Extensão "Escola Aberta de Inovação".</w:t>
      </w:r>
    </w:p>
    <w:p w14:paraId="5467736E" w14:textId="4B0F0993" w:rsidR="008B7470" w:rsidRPr="008B7470" w:rsidRDefault="008B7470" w:rsidP="008B7470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7470">
        <w:rPr>
          <w:sz w:val="24"/>
          <w:szCs w:val="24"/>
        </w:rPr>
        <w:t>Apreciação do Preenchimento 2018-2020 da Plataforma Sucupira.</w:t>
      </w:r>
    </w:p>
    <w:p w14:paraId="6BC8024A" w14:textId="730CBF2D" w:rsidR="008B7470" w:rsidRDefault="008B7470" w:rsidP="008B7470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7470">
        <w:rPr>
          <w:sz w:val="24"/>
          <w:szCs w:val="24"/>
        </w:rPr>
        <w:t>Matrícula e previsão de defesas de TCC e qualificação.</w:t>
      </w:r>
    </w:p>
    <w:p w14:paraId="60BEAAEC" w14:textId="15D9BC31" w:rsidR="008B7470" w:rsidRPr="008B7470" w:rsidRDefault="008B7470" w:rsidP="008B7470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7470">
        <w:rPr>
          <w:sz w:val="24"/>
          <w:szCs w:val="24"/>
        </w:rPr>
        <w:t>Pedido de cancelamento de matrícula Jefferson Pinto da turma do Profnit 2020</w:t>
      </w:r>
    </w:p>
    <w:p w14:paraId="7F4D7D61" w14:textId="5B7B7C60" w:rsidR="00B87515" w:rsidRDefault="00F35449" w:rsidP="00CF4E3F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Apresentação dos Resultados da análise de </w:t>
      </w:r>
      <w:r w:rsidR="00B87515">
        <w:rPr>
          <w:sz w:val="24"/>
          <w:szCs w:val="24"/>
        </w:rPr>
        <w:t>C</w:t>
      </w:r>
      <w:r w:rsidR="00B87515" w:rsidRPr="00B87515">
        <w:rPr>
          <w:sz w:val="24"/>
          <w:szCs w:val="24"/>
        </w:rPr>
        <w:t xml:space="preserve">redenciamento </w:t>
      </w:r>
      <w:r w:rsidR="00B87515">
        <w:rPr>
          <w:sz w:val="24"/>
          <w:szCs w:val="24"/>
        </w:rPr>
        <w:t>D</w:t>
      </w:r>
      <w:r w:rsidR="00B87515" w:rsidRPr="00B87515">
        <w:rPr>
          <w:sz w:val="24"/>
          <w:szCs w:val="24"/>
        </w:rPr>
        <w:t>ocente</w:t>
      </w:r>
    </w:p>
    <w:p w14:paraId="51C62FFC" w14:textId="77777777" w:rsidR="00D72BF4" w:rsidRPr="00D72BF4" w:rsidRDefault="00D72BF4" w:rsidP="00ED28D5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D72BF4">
        <w:rPr>
          <w:sz w:val="24"/>
          <w:szCs w:val="24"/>
          <w:lang w:val="en-US"/>
        </w:rPr>
        <w:t>Madson</w:t>
      </w:r>
      <w:proofErr w:type="spellEnd"/>
      <w:r w:rsidRPr="00D72BF4">
        <w:rPr>
          <w:sz w:val="24"/>
          <w:szCs w:val="24"/>
          <w:lang w:val="en-US"/>
        </w:rPr>
        <w:t xml:space="preserve"> Gomes (</w:t>
      </w:r>
      <w:proofErr w:type="spellStart"/>
      <w:r w:rsidRPr="00D72BF4">
        <w:rPr>
          <w:sz w:val="24"/>
          <w:szCs w:val="24"/>
          <w:lang w:val="en-US"/>
        </w:rPr>
        <w:t>unifap</w:t>
      </w:r>
      <w:proofErr w:type="spellEnd"/>
      <w:r w:rsidRPr="00D72BF4">
        <w:rPr>
          <w:sz w:val="24"/>
          <w:szCs w:val="24"/>
          <w:lang w:val="en-US"/>
        </w:rPr>
        <w:t>) madson@unifap.br</w:t>
      </w:r>
    </w:p>
    <w:p w14:paraId="15B31C4C" w14:textId="77777777" w:rsidR="00D72BF4" w:rsidRPr="00D72BF4" w:rsidRDefault="00D72BF4" w:rsidP="00ED28D5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D72BF4">
        <w:rPr>
          <w:sz w:val="24"/>
          <w:szCs w:val="24"/>
          <w:lang w:val="en-US"/>
        </w:rPr>
        <w:t>Wollner</w:t>
      </w:r>
      <w:proofErr w:type="spellEnd"/>
      <w:r w:rsidRPr="00D72BF4">
        <w:rPr>
          <w:sz w:val="24"/>
          <w:szCs w:val="24"/>
          <w:lang w:val="en-US"/>
        </w:rPr>
        <w:t xml:space="preserve"> </w:t>
      </w:r>
      <w:proofErr w:type="spellStart"/>
      <w:r w:rsidRPr="00D72BF4">
        <w:rPr>
          <w:sz w:val="24"/>
          <w:szCs w:val="24"/>
          <w:lang w:val="en-US"/>
        </w:rPr>
        <w:t>Materko</w:t>
      </w:r>
      <w:proofErr w:type="spellEnd"/>
      <w:r w:rsidRPr="00D72BF4">
        <w:rPr>
          <w:sz w:val="24"/>
          <w:szCs w:val="24"/>
          <w:lang w:val="en-US"/>
        </w:rPr>
        <w:t xml:space="preserve"> (UNIFAP) wollner.materko@gmail.com</w:t>
      </w:r>
    </w:p>
    <w:p w14:paraId="13513D8B" w14:textId="77777777" w:rsidR="00D72BF4" w:rsidRPr="00D72BF4" w:rsidRDefault="00D72BF4" w:rsidP="00ED28D5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Perseu da Silva Aparicio (UEAP) perseu.aparicio@ueap.edu.br</w:t>
      </w:r>
    </w:p>
    <w:p w14:paraId="2EB2BE3C" w14:textId="77777777" w:rsidR="00D72BF4" w:rsidRPr="00D72BF4" w:rsidRDefault="00D72BF4" w:rsidP="00ED28D5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Jadson Coelho de Abreu (UEAP) jadson.abreu@ueap.edu.br</w:t>
      </w:r>
    </w:p>
    <w:p w14:paraId="3BE33C43" w14:textId="1A38DB3E" w:rsidR="00D72BF4" w:rsidRDefault="00D72BF4" w:rsidP="00ED28D5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Luciano Araujo Pereira (UEAP) luciano.pereira@ueap.edu.br</w:t>
      </w:r>
    </w:p>
    <w:p w14:paraId="6C82D635" w14:textId="6ECB5384" w:rsidR="00F35449" w:rsidRDefault="00F35449" w:rsidP="00CF4E3F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5449">
        <w:rPr>
          <w:sz w:val="24"/>
          <w:szCs w:val="24"/>
        </w:rPr>
        <w:t>Apresentação do diagnóstico da produção docente</w:t>
      </w:r>
    </w:p>
    <w:p w14:paraId="669F48E5" w14:textId="434A210C" w:rsidR="008B7470" w:rsidRDefault="008B7470" w:rsidP="00CF4E3F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Pedido do Professor Rafael Pontes para mais uma vaga de orientação.</w:t>
      </w:r>
    </w:p>
    <w:p w14:paraId="3EFE671C" w14:textId="3125EC12" w:rsidR="00C305BD" w:rsidRDefault="00D436E1" w:rsidP="00F84D03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36E1">
        <w:rPr>
          <w:sz w:val="24"/>
          <w:szCs w:val="24"/>
        </w:rPr>
        <w:t>o que ocorrer</w:t>
      </w:r>
    </w:p>
    <w:bookmarkEnd w:id="1"/>
    <w:p w14:paraId="1A062770" w14:textId="77777777" w:rsidR="005E3373" w:rsidRPr="005E3373" w:rsidRDefault="005E3373" w:rsidP="005E3373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</w:p>
    <w:p w14:paraId="3D5E4DEC" w14:textId="4356793C" w:rsidR="007A7EDE" w:rsidRPr="00C87650" w:rsidRDefault="007A7EDE" w:rsidP="00C87650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87650">
        <w:rPr>
          <w:b/>
          <w:bCs/>
          <w:sz w:val="24"/>
          <w:szCs w:val="24"/>
        </w:rPr>
        <w:t>Apreciação de Projeto de Extensão "Escola Aberta de Inovação".</w:t>
      </w:r>
    </w:p>
    <w:p w14:paraId="3B9AF930" w14:textId="3D79F7AC" w:rsidR="00C87650" w:rsidRPr="00A777D2" w:rsidRDefault="00C87650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A777D2">
        <w:rPr>
          <w:bCs/>
          <w:i/>
          <w:sz w:val="24"/>
          <w:szCs w:val="24"/>
        </w:rPr>
        <w:t>O professor Daniel apresentou a minuta de um projeto de extensão para popularizar o ensino de Inovação</w:t>
      </w:r>
      <w:r w:rsidR="00CA78BC" w:rsidRPr="00A777D2">
        <w:rPr>
          <w:bCs/>
          <w:i/>
          <w:sz w:val="24"/>
          <w:szCs w:val="24"/>
        </w:rPr>
        <w:t>, que será institucionalizado no seu colegiado da graduação com a proposta de apoio do PROFNIT</w:t>
      </w:r>
      <w:r w:rsidR="00DD2624">
        <w:rPr>
          <w:bCs/>
          <w:i/>
          <w:sz w:val="24"/>
          <w:szCs w:val="24"/>
        </w:rPr>
        <w:t>, UEAP e da SETEC</w:t>
      </w:r>
      <w:r w:rsidR="00CA78BC" w:rsidRPr="00A777D2">
        <w:rPr>
          <w:bCs/>
          <w:i/>
          <w:sz w:val="24"/>
          <w:szCs w:val="24"/>
        </w:rPr>
        <w:t>.</w:t>
      </w:r>
    </w:p>
    <w:p w14:paraId="37AC2D16" w14:textId="3C215776" w:rsidR="00CA78BC" w:rsidRPr="00A777D2" w:rsidRDefault="00CA78BC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A777D2">
        <w:rPr>
          <w:bCs/>
          <w:i/>
          <w:sz w:val="24"/>
          <w:szCs w:val="24"/>
        </w:rPr>
        <w:t>Os professores listados abaixo apresentam interesse em apoiar o projeto:</w:t>
      </w:r>
    </w:p>
    <w:p w14:paraId="3CB9BA00" w14:textId="1BCD747E" w:rsidR="00CA78BC" w:rsidRDefault="007D0B1A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Werbeston Douglas de Oliveira</w:t>
      </w:r>
    </w:p>
    <w:p w14:paraId="16AA3C06" w14:textId="27CF143C" w:rsidR="007D0B1A" w:rsidRDefault="007D0B1A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Geraldo Maranhão</w:t>
      </w:r>
    </w:p>
    <w:p w14:paraId="738CD744" w14:textId="43CD7E7A" w:rsidR="00DD2624" w:rsidRDefault="00DD2624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Rafael Pontes</w:t>
      </w:r>
    </w:p>
    <w:p w14:paraId="4286ADFC" w14:textId="4297F5ED" w:rsidR="00DD2624" w:rsidRDefault="00344323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proofErr w:type="spellStart"/>
      <w:r w:rsidRPr="00344323">
        <w:rPr>
          <w:bCs/>
          <w:i/>
          <w:sz w:val="24"/>
          <w:szCs w:val="24"/>
        </w:rPr>
        <w:t>Dilneia</w:t>
      </w:r>
      <w:proofErr w:type="spellEnd"/>
      <w:r w:rsidRPr="00344323">
        <w:rPr>
          <w:bCs/>
          <w:i/>
          <w:sz w:val="24"/>
          <w:szCs w:val="24"/>
        </w:rPr>
        <w:t xml:space="preserve"> </w:t>
      </w:r>
      <w:proofErr w:type="spellStart"/>
      <w:r w:rsidRPr="00344323">
        <w:rPr>
          <w:bCs/>
          <w:i/>
          <w:sz w:val="24"/>
          <w:szCs w:val="24"/>
        </w:rPr>
        <w:t>Rochana</w:t>
      </w:r>
      <w:proofErr w:type="spellEnd"/>
      <w:r w:rsidRPr="00344323">
        <w:rPr>
          <w:bCs/>
          <w:i/>
          <w:sz w:val="24"/>
          <w:szCs w:val="24"/>
        </w:rPr>
        <w:t xml:space="preserve"> Tavares do Couto</w:t>
      </w:r>
      <w:r>
        <w:rPr>
          <w:bCs/>
          <w:i/>
          <w:sz w:val="24"/>
          <w:szCs w:val="24"/>
        </w:rPr>
        <w:t>.</w:t>
      </w:r>
      <w:r w:rsidR="000B7C28">
        <w:rPr>
          <w:bCs/>
          <w:i/>
          <w:sz w:val="24"/>
          <w:szCs w:val="24"/>
        </w:rPr>
        <w:t xml:space="preserve"> </w:t>
      </w:r>
    </w:p>
    <w:p w14:paraId="587B695D" w14:textId="382F83D8" w:rsidR="000B7C28" w:rsidRDefault="000B7C28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Francisco Tarcísio </w:t>
      </w:r>
    </w:p>
    <w:p w14:paraId="30723103" w14:textId="77777777" w:rsidR="007D0B1A" w:rsidRPr="00A777D2" w:rsidRDefault="007D0B1A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</w:p>
    <w:p w14:paraId="65E03332" w14:textId="0C6CB3ED" w:rsidR="007A7EDE" w:rsidRPr="00B43A75" w:rsidRDefault="007A7EDE" w:rsidP="00B43A75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B43A75">
        <w:rPr>
          <w:b/>
          <w:bCs/>
          <w:sz w:val="24"/>
          <w:szCs w:val="24"/>
        </w:rPr>
        <w:t>Apreciação do Preenchimento 2018-2020 da Plataforma Sucupira.</w:t>
      </w:r>
    </w:p>
    <w:p w14:paraId="613D6C32" w14:textId="09160F0F" w:rsidR="00B43A75" w:rsidRPr="00DA6D68" w:rsidRDefault="00B43A75" w:rsidP="00B43A75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DA6D68">
        <w:rPr>
          <w:bCs/>
          <w:i/>
          <w:sz w:val="24"/>
          <w:szCs w:val="24"/>
        </w:rPr>
        <w:t>Foi</w:t>
      </w:r>
      <w:r w:rsidR="00DA6D68" w:rsidRPr="00DA6D68">
        <w:rPr>
          <w:bCs/>
          <w:i/>
          <w:sz w:val="24"/>
          <w:szCs w:val="24"/>
        </w:rPr>
        <w:t xml:space="preserve"> apresentado o relatório de importação da produção intelectual do ponto focal e em seguida foi discutidas ações para melhorar a produção.</w:t>
      </w:r>
    </w:p>
    <w:p w14:paraId="6518E48C" w14:textId="75FCA54F" w:rsidR="007A7EDE" w:rsidRPr="00252185" w:rsidRDefault="007A7EDE" w:rsidP="00252185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52185">
        <w:rPr>
          <w:b/>
          <w:bCs/>
          <w:sz w:val="24"/>
          <w:szCs w:val="24"/>
        </w:rPr>
        <w:lastRenderedPageBreak/>
        <w:t>Matrícula e previsão de defesas de TCC e qualificação.</w:t>
      </w:r>
    </w:p>
    <w:p w14:paraId="2754A9A3" w14:textId="1A2F131E" w:rsidR="00252185" w:rsidRPr="00BC5AD3" w:rsidRDefault="00BC5AD3" w:rsidP="00252185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BC5AD3">
        <w:rPr>
          <w:bCs/>
          <w:i/>
          <w:sz w:val="24"/>
          <w:szCs w:val="24"/>
        </w:rPr>
        <w:t>Os alunos da turma 2019 s</w:t>
      </w:r>
      <w:r w:rsidR="00252185" w:rsidRPr="00BC5AD3">
        <w:rPr>
          <w:bCs/>
          <w:i/>
          <w:sz w:val="24"/>
          <w:szCs w:val="24"/>
        </w:rPr>
        <w:t>er</w:t>
      </w:r>
      <w:r w:rsidRPr="00BC5AD3">
        <w:rPr>
          <w:bCs/>
          <w:i/>
          <w:sz w:val="24"/>
          <w:szCs w:val="24"/>
        </w:rPr>
        <w:t>ão matrículados na disciplina de qualificação, para que os alunos não fiquem sem vinculo.</w:t>
      </w:r>
    </w:p>
    <w:p w14:paraId="58205A79" w14:textId="6C3BB7D6" w:rsidR="00D73CF2" w:rsidRDefault="007A7EDE" w:rsidP="007A7EDE">
      <w:pPr>
        <w:jc w:val="both"/>
        <w:rPr>
          <w:b/>
          <w:bCs/>
          <w:sz w:val="24"/>
          <w:szCs w:val="24"/>
        </w:rPr>
      </w:pPr>
      <w:r w:rsidRPr="007A7EDE">
        <w:rPr>
          <w:b/>
          <w:bCs/>
          <w:sz w:val="24"/>
          <w:szCs w:val="24"/>
        </w:rPr>
        <w:t>4.</w:t>
      </w:r>
      <w:r w:rsidRPr="007A7EDE">
        <w:rPr>
          <w:b/>
          <w:bCs/>
          <w:sz w:val="24"/>
          <w:szCs w:val="24"/>
        </w:rPr>
        <w:tab/>
        <w:t>Pedido de cancelamento de matrícula Jefferson Pinto da turma do Profnit 2020</w:t>
      </w:r>
    </w:p>
    <w:p w14:paraId="1376D158" w14:textId="09B1B0B8" w:rsidR="00D73CF2" w:rsidRPr="00D73CF2" w:rsidRDefault="00D73CF2" w:rsidP="00D73CF2">
      <w:pPr>
        <w:ind w:firstLine="708"/>
        <w:jc w:val="both"/>
        <w:rPr>
          <w:bCs/>
          <w:i/>
          <w:sz w:val="24"/>
          <w:szCs w:val="24"/>
        </w:rPr>
      </w:pPr>
      <w:r w:rsidRPr="00D73CF2">
        <w:rPr>
          <w:bCs/>
          <w:i/>
          <w:sz w:val="24"/>
          <w:szCs w:val="24"/>
        </w:rPr>
        <w:t>Vai ser convocado o próximo candidato na cota que o candidato participou do certame.</w:t>
      </w:r>
      <w:r w:rsidR="00344323">
        <w:rPr>
          <w:bCs/>
          <w:i/>
          <w:sz w:val="24"/>
          <w:szCs w:val="24"/>
        </w:rPr>
        <w:t xml:space="preserve"> A partir do momento que o aluno Jefferson Pinto entregue documentação um pedido formal de cancelamento de matrícula.</w:t>
      </w:r>
    </w:p>
    <w:p w14:paraId="5A18FD91" w14:textId="687F5731" w:rsidR="007A7EDE" w:rsidRPr="005677D8" w:rsidRDefault="007A7EDE" w:rsidP="005677D8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5677D8">
        <w:rPr>
          <w:b/>
          <w:bCs/>
          <w:sz w:val="24"/>
          <w:szCs w:val="24"/>
        </w:rPr>
        <w:t>Apresentação dos Resultados da análise de Credenciamento Docente</w:t>
      </w:r>
    </w:p>
    <w:p w14:paraId="67D4C465" w14:textId="77777777" w:rsidR="005677D8" w:rsidRDefault="005677D8" w:rsidP="005677D8">
      <w:pPr>
        <w:pStyle w:val="PargrafodaLista"/>
        <w:ind w:left="1065"/>
        <w:jc w:val="both"/>
        <w:rPr>
          <w:b/>
          <w:bCs/>
          <w:sz w:val="24"/>
          <w:szCs w:val="24"/>
        </w:rPr>
      </w:pPr>
    </w:p>
    <w:p w14:paraId="1803E971" w14:textId="5A2CE0D7" w:rsidR="005677D8" w:rsidRPr="005677D8" w:rsidRDefault="005677D8" w:rsidP="005677D8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5677D8">
        <w:rPr>
          <w:bCs/>
          <w:i/>
          <w:sz w:val="24"/>
          <w:szCs w:val="24"/>
        </w:rPr>
        <w:t>O colegiado indica pela absorção dos professores listados na tabela abaixo como professores permanente</w:t>
      </w:r>
      <w:r>
        <w:rPr>
          <w:bCs/>
          <w:i/>
          <w:sz w:val="24"/>
          <w:szCs w:val="24"/>
        </w:rPr>
        <w:t>s</w:t>
      </w:r>
      <w:r w:rsidRPr="005677D8">
        <w:rPr>
          <w:bCs/>
          <w:i/>
          <w:sz w:val="24"/>
          <w:szCs w:val="24"/>
        </w:rPr>
        <w:t>.</w:t>
      </w:r>
    </w:p>
    <w:p w14:paraId="7DA561C0" w14:textId="71D0D30E" w:rsidR="007F502B" w:rsidRPr="007F502B" w:rsidRDefault="007F502B" w:rsidP="007F502B">
      <w:pPr>
        <w:jc w:val="both"/>
        <w:rPr>
          <w:sz w:val="24"/>
          <w:szCs w:val="24"/>
        </w:rPr>
      </w:pPr>
      <w:r>
        <w:rPr>
          <w:sz w:val="24"/>
          <w:szCs w:val="24"/>
        </w:rPr>
        <w:t>Apreciação realizada pelos professores Robson Tavares e Werbeston Douglas</w:t>
      </w: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1959"/>
        <w:gridCol w:w="461"/>
        <w:gridCol w:w="474"/>
        <w:gridCol w:w="609"/>
        <w:gridCol w:w="645"/>
        <w:gridCol w:w="500"/>
        <w:gridCol w:w="645"/>
        <w:gridCol w:w="787"/>
        <w:gridCol w:w="654"/>
        <w:gridCol w:w="616"/>
        <w:gridCol w:w="461"/>
        <w:gridCol w:w="1006"/>
        <w:gridCol w:w="10"/>
        <w:gridCol w:w="11"/>
      </w:tblGrid>
      <w:tr w:rsidR="007F502B" w:rsidRPr="007F502B" w14:paraId="0AA6C1B5" w14:textId="77777777" w:rsidTr="007F502B">
        <w:trPr>
          <w:gridAfter w:val="1"/>
          <w:wAfter w:w="11" w:type="dxa"/>
          <w:trHeight w:val="300"/>
        </w:trPr>
        <w:tc>
          <w:tcPr>
            <w:tcW w:w="1959" w:type="dxa"/>
            <w:noWrap/>
            <w:hideMark/>
          </w:tcPr>
          <w:p w14:paraId="4CA40E57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DOCENTE</w:t>
            </w:r>
          </w:p>
        </w:tc>
        <w:tc>
          <w:tcPr>
            <w:tcW w:w="6868" w:type="dxa"/>
            <w:gridSpan w:val="12"/>
            <w:noWrap/>
            <w:hideMark/>
          </w:tcPr>
          <w:p w14:paraId="4CC708B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Critérios Art. 4° da RESOLUÇÃO PROFNIT/FORTEC N. 03/2018</w:t>
            </w:r>
          </w:p>
        </w:tc>
      </w:tr>
      <w:tr w:rsidR="007F502B" w:rsidRPr="007F502B" w14:paraId="287B86CF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3A61F31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5AB7143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</w:t>
            </w:r>
          </w:p>
        </w:tc>
        <w:tc>
          <w:tcPr>
            <w:tcW w:w="474" w:type="dxa"/>
            <w:noWrap/>
            <w:hideMark/>
          </w:tcPr>
          <w:p w14:paraId="3C8E720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II</w:t>
            </w:r>
          </w:p>
        </w:tc>
        <w:tc>
          <w:tcPr>
            <w:tcW w:w="609" w:type="dxa"/>
            <w:noWrap/>
            <w:hideMark/>
          </w:tcPr>
          <w:p w14:paraId="3FB9EC7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III</w:t>
            </w:r>
          </w:p>
        </w:tc>
        <w:tc>
          <w:tcPr>
            <w:tcW w:w="645" w:type="dxa"/>
            <w:noWrap/>
            <w:hideMark/>
          </w:tcPr>
          <w:p w14:paraId="5AB123E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IV</w:t>
            </w:r>
          </w:p>
        </w:tc>
        <w:tc>
          <w:tcPr>
            <w:tcW w:w="500" w:type="dxa"/>
            <w:noWrap/>
            <w:hideMark/>
          </w:tcPr>
          <w:p w14:paraId="58BA9E1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</w:t>
            </w:r>
          </w:p>
        </w:tc>
        <w:tc>
          <w:tcPr>
            <w:tcW w:w="645" w:type="dxa"/>
            <w:noWrap/>
            <w:hideMark/>
          </w:tcPr>
          <w:p w14:paraId="0A4EF3E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</w:t>
            </w:r>
          </w:p>
        </w:tc>
        <w:tc>
          <w:tcPr>
            <w:tcW w:w="787" w:type="dxa"/>
            <w:noWrap/>
            <w:hideMark/>
          </w:tcPr>
          <w:p w14:paraId="11EEC25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VII</w:t>
            </w:r>
          </w:p>
        </w:tc>
        <w:tc>
          <w:tcPr>
            <w:tcW w:w="654" w:type="dxa"/>
            <w:noWrap/>
            <w:hideMark/>
          </w:tcPr>
          <w:p w14:paraId="0FA1BDDA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VIII</w:t>
            </w:r>
          </w:p>
        </w:tc>
        <w:tc>
          <w:tcPr>
            <w:tcW w:w="616" w:type="dxa"/>
            <w:noWrap/>
            <w:hideMark/>
          </w:tcPr>
          <w:p w14:paraId="4AFD038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IX</w:t>
            </w:r>
          </w:p>
        </w:tc>
        <w:tc>
          <w:tcPr>
            <w:tcW w:w="461" w:type="dxa"/>
            <w:noWrap/>
            <w:hideMark/>
          </w:tcPr>
          <w:p w14:paraId="677E0A4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1006" w:type="dxa"/>
            <w:noWrap/>
            <w:hideMark/>
          </w:tcPr>
          <w:p w14:paraId="695CCEEF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XI</w:t>
            </w:r>
          </w:p>
        </w:tc>
      </w:tr>
      <w:tr w:rsidR="007F502B" w:rsidRPr="007F502B" w14:paraId="62FD09B3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25EF80D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Wollner Materko</w:t>
            </w:r>
          </w:p>
        </w:tc>
        <w:tc>
          <w:tcPr>
            <w:tcW w:w="461" w:type="dxa"/>
            <w:noWrap/>
            <w:hideMark/>
          </w:tcPr>
          <w:p w14:paraId="702DFF6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474" w:type="dxa"/>
            <w:noWrap/>
            <w:hideMark/>
          </w:tcPr>
          <w:p w14:paraId="2FAB3F8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14:paraId="57B1BBE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5882187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1F1194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6964357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44636980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4D31C7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21F8716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53224FC8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65B98A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</w:tr>
      <w:tr w:rsidR="007F502B" w:rsidRPr="007F502B" w14:paraId="498CCE99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206A049A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Madson Ralide Fonseca Gomes</w:t>
            </w:r>
          </w:p>
        </w:tc>
        <w:tc>
          <w:tcPr>
            <w:tcW w:w="461" w:type="dxa"/>
            <w:noWrap/>
            <w:hideMark/>
          </w:tcPr>
          <w:p w14:paraId="1E3F42FE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noWrap/>
            <w:hideMark/>
          </w:tcPr>
          <w:p w14:paraId="7BF9C2D7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609" w:type="dxa"/>
            <w:noWrap/>
            <w:hideMark/>
          </w:tcPr>
          <w:p w14:paraId="37B4B7A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2AF56957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23D6FDE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09D6815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052C05C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4E7493E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37F172BE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44CBA4B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537BA599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</w:tr>
      <w:tr w:rsidR="007F502B" w:rsidRPr="007F502B" w14:paraId="4EC98E24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39DEB2A0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Jadson Coelho de Abreu</w:t>
            </w:r>
          </w:p>
        </w:tc>
        <w:tc>
          <w:tcPr>
            <w:tcW w:w="461" w:type="dxa"/>
            <w:noWrap/>
            <w:hideMark/>
          </w:tcPr>
          <w:p w14:paraId="2F77854F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noWrap/>
            <w:hideMark/>
          </w:tcPr>
          <w:p w14:paraId="1741F1B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14:paraId="57E35817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645" w:type="dxa"/>
            <w:noWrap/>
            <w:hideMark/>
          </w:tcPr>
          <w:p w14:paraId="47B75D4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082F88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1B84938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481B948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651CEE2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21E85CF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6A42C4DF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1E877CC0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</w:tr>
      <w:tr w:rsidR="007F502B" w:rsidRPr="007F502B" w14:paraId="649A2E76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255EE45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Perseu da Silva Aparício</w:t>
            </w:r>
          </w:p>
        </w:tc>
        <w:tc>
          <w:tcPr>
            <w:tcW w:w="461" w:type="dxa"/>
            <w:noWrap/>
            <w:hideMark/>
          </w:tcPr>
          <w:p w14:paraId="446B3267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474" w:type="dxa"/>
            <w:noWrap/>
            <w:hideMark/>
          </w:tcPr>
          <w:p w14:paraId="5F796DD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14:paraId="507885F6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645" w:type="dxa"/>
            <w:noWrap/>
            <w:hideMark/>
          </w:tcPr>
          <w:p w14:paraId="3AB7FD91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F877D4A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4BDE630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2D894FD8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7C8DE9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400F5D5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287D4F7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A5F49A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</w:tr>
      <w:tr w:rsidR="007F502B" w:rsidRPr="007F502B" w14:paraId="66CD3E63" w14:textId="77777777" w:rsidTr="007F502B">
        <w:trPr>
          <w:gridAfter w:val="2"/>
          <w:wAfter w:w="21" w:type="dxa"/>
          <w:trHeight w:val="300"/>
        </w:trPr>
        <w:tc>
          <w:tcPr>
            <w:tcW w:w="1959" w:type="dxa"/>
            <w:noWrap/>
            <w:hideMark/>
          </w:tcPr>
          <w:p w14:paraId="09F5630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Luciano Araujo Pereira</w:t>
            </w:r>
          </w:p>
        </w:tc>
        <w:tc>
          <w:tcPr>
            <w:tcW w:w="461" w:type="dxa"/>
            <w:noWrap/>
            <w:hideMark/>
          </w:tcPr>
          <w:p w14:paraId="25E598B4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474" w:type="dxa"/>
            <w:noWrap/>
            <w:hideMark/>
          </w:tcPr>
          <w:p w14:paraId="742006F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609" w:type="dxa"/>
            <w:noWrap/>
            <w:hideMark/>
          </w:tcPr>
          <w:p w14:paraId="0BB7CF7B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645" w:type="dxa"/>
            <w:noWrap/>
            <w:hideMark/>
          </w:tcPr>
          <w:p w14:paraId="259F598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D399010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5458ACB9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68E7193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4BFFF72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54B77A6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1DE0826A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48F7D5AE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 </w:t>
            </w:r>
          </w:p>
        </w:tc>
      </w:tr>
      <w:tr w:rsidR="007F502B" w:rsidRPr="007F502B" w14:paraId="14DCFAEF" w14:textId="77777777" w:rsidTr="007F502B">
        <w:trPr>
          <w:trHeight w:val="840"/>
        </w:trPr>
        <w:tc>
          <w:tcPr>
            <w:tcW w:w="8838" w:type="dxa"/>
            <w:gridSpan w:val="14"/>
            <w:hideMark/>
          </w:tcPr>
          <w:p w14:paraId="6ADF556C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Art. 4°. Para o interstício de 2019-2020, de forma não cumulativa, serão considerados os seguintes critérios mínimos de produção intelectual como exigência de credenciamento, no período de 2 (dois) anos mais fração considerada até a data de avaliação, por exemplo, 2016, 2017 e 2018 mesmo que seja parcial:</w:t>
            </w:r>
          </w:p>
        </w:tc>
      </w:tr>
      <w:tr w:rsidR="007F502B" w:rsidRPr="007F502B" w14:paraId="3F286E31" w14:textId="77777777" w:rsidTr="007F502B">
        <w:trPr>
          <w:trHeight w:val="645"/>
        </w:trPr>
        <w:tc>
          <w:tcPr>
            <w:tcW w:w="8838" w:type="dxa"/>
            <w:gridSpan w:val="14"/>
            <w:hideMark/>
          </w:tcPr>
          <w:p w14:paraId="7C936F79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 - Possuir1 (hum) artigo qualificado nos estratos A1 ou A2 do Qualis - Periódicos da Capes na área de Administração, ou da Interdisciplinar, ou da área de formação do docente ou de áreas correlatas;</w:t>
            </w:r>
          </w:p>
        </w:tc>
      </w:tr>
      <w:tr w:rsidR="007F502B" w:rsidRPr="007F502B" w14:paraId="722016F9" w14:textId="77777777" w:rsidTr="007F502B">
        <w:trPr>
          <w:trHeight w:val="585"/>
        </w:trPr>
        <w:tc>
          <w:tcPr>
            <w:tcW w:w="8838" w:type="dxa"/>
            <w:gridSpan w:val="14"/>
            <w:hideMark/>
          </w:tcPr>
          <w:p w14:paraId="0D1823BF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II - Possui 2 (dois) artigos qualificados no estrato B1 do Qualis - Periódicos da Capes na área de Administração, ou da Interdisciplinar, ou da área de formação do docente ou de áreas correlatas;</w:t>
            </w:r>
          </w:p>
        </w:tc>
      </w:tr>
      <w:tr w:rsidR="007F502B" w:rsidRPr="007F502B" w14:paraId="2749D756" w14:textId="77777777" w:rsidTr="007F502B">
        <w:trPr>
          <w:trHeight w:val="780"/>
        </w:trPr>
        <w:tc>
          <w:tcPr>
            <w:tcW w:w="8838" w:type="dxa"/>
            <w:gridSpan w:val="14"/>
            <w:hideMark/>
          </w:tcPr>
          <w:p w14:paraId="541E3E53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III - Possuir3 (três) artigos qualificados no estrato B2 do Qualis - Periódicos da Capes na área de Administração, ou da Interdisciplinar, ou da área de formação do docente ou de áreas correlatas;</w:t>
            </w:r>
          </w:p>
        </w:tc>
      </w:tr>
      <w:tr w:rsidR="007F502B" w:rsidRPr="007F502B" w14:paraId="08CDEA98" w14:textId="77777777" w:rsidTr="007F502B">
        <w:trPr>
          <w:trHeight w:val="630"/>
        </w:trPr>
        <w:tc>
          <w:tcPr>
            <w:tcW w:w="8838" w:type="dxa"/>
            <w:gridSpan w:val="14"/>
            <w:hideMark/>
          </w:tcPr>
          <w:p w14:paraId="56D6C84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IV - Possuir 4 (quatro) artigos qualificados no estrato B3, ou B4, ou B5 do Qualis - Periódicos da Capes na área de Administração, ou da Interdisciplinar, ou da área de formação do docente ou de áreas correlatas;</w:t>
            </w:r>
          </w:p>
        </w:tc>
      </w:tr>
      <w:tr w:rsidR="007F502B" w:rsidRPr="007F502B" w14:paraId="3E98C13A" w14:textId="77777777" w:rsidTr="007F502B">
        <w:trPr>
          <w:trHeight w:val="615"/>
        </w:trPr>
        <w:tc>
          <w:tcPr>
            <w:tcW w:w="8838" w:type="dxa"/>
            <w:gridSpan w:val="14"/>
            <w:hideMark/>
          </w:tcPr>
          <w:p w14:paraId="5EAD6F6E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lastRenderedPageBreak/>
              <w:t>V - Possuir 3 (três) capítulos de livros em tema aderente à área de conhecimento de abrangência do PROFNIT, publicados por editora universitária ou comercial de renome, com capacidade de distribuição, Conselho Editorial e ISBN;</w:t>
            </w:r>
          </w:p>
        </w:tc>
      </w:tr>
      <w:tr w:rsidR="007F502B" w:rsidRPr="007F502B" w14:paraId="0FEE4731" w14:textId="77777777" w:rsidTr="007F502B">
        <w:trPr>
          <w:trHeight w:val="630"/>
        </w:trPr>
        <w:tc>
          <w:tcPr>
            <w:tcW w:w="8838" w:type="dxa"/>
            <w:gridSpan w:val="14"/>
            <w:hideMark/>
          </w:tcPr>
          <w:p w14:paraId="0539A7FD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 - Possuir 1 (hum) livro em tema aderente à área de conhecimento de abrangência do PROFNIT, publicado por editora universitária ou comercial de renome, com capacidade de distribuição, Conselho Editorial e ISBN.</w:t>
            </w:r>
          </w:p>
        </w:tc>
      </w:tr>
      <w:tr w:rsidR="007F502B" w:rsidRPr="007F502B" w14:paraId="4FD2DB5A" w14:textId="77777777" w:rsidTr="007F502B">
        <w:trPr>
          <w:trHeight w:val="1050"/>
        </w:trPr>
        <w:tc>
          <w:tcPr>
            <w:tcW w:w="8838" w:type="dxa"/>
            <w:gridSpan w:val="14"/>
            <w:hideMark/>
          </w:tcPr>
          <w:p w14:paraId="432DD1B5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VII - Possuir 1 (hum) artigo qualificado no estrato B3 do do Qualis - Periódicos da Capes na área de Administração, ou da Interdisciplinar, ou da área de formação do docente ou de áreas correlatas, e 1 (hum) depósito de pedido de patente protocolado junto ao Instituto Nacional de Propriedade Industrial (INPI);</w:t>
            </w:r>
          </w:p>
        </w:tc>
      </w:tr>
      <w:tr w:rsidR="007F502B" w:rsidRPr="007F502B" w14:paraId="1CCFC69F" w14:textId="77777777" w:rsidTr="007F502B">
        <w:trPr>
          <w:trHeight w:val="915"/>
        </w:trPr>
        <w:tc>
          <w:tcPr>
            <w:tcW w:w="8838" w:type="dxa"/>
            <w:gridSpan w:val="14"/>
            <w:hideMark/>
          </w:tcPr>
          <w:p w14:paraId="6735FA4A" w14:textId="77777777" w:rsidR="007F502B" w:rsidRPr="007F502B" w:rsidRDefault="007F502B" w:rsidP="007F502B">
            <w:pPr>
              <w:jc w:val="both"/>
              <w:rPr>
                <w:sz w:val="24"/>
                <w:szCs w:val="24"/>
              </w:rPr>
            </w:pPr>
            <w:r w:rsidRPr="007F502B">
              <w:rPr>
                <w:sz w:val="24"/>
                <w:szCs w:val="24"/>
              </w:rPr>
              <w:t>VIII - Possuir 1 (hum) artigo qualificado no estrato B3 do Qualis - Periódicos da Capes na área de Administração, ou da Interdisciplinar, ou da área de formação do docente ou de áreas correlatas, e 1 (hum) capítulo de livro em tema aderente à área de conhecimento de abrangência do PROFNIT, publicado por editora universitária ou comercial de renome, com capacidade de distribuição, conselho editorial e ISBN.</w:t>
            </w:r>
          </w:p>
        </w:tc>
      </w:tr>
    </w:tbl>
    <w:p w14:paraId="2DD3C3E0" w14:textId="6F67D6B9" w:rsidR="007A7EDE" w:rsidRPr="007F502B" w:rsidRDefault="007A7EDE" w:rsidP="007F502B">
      <w:pPr>
        <w:jc w:val="both"/>
        <w:rPr>
          <w:sz w:val="24"/>
          <w:szCs w:val="24"/>
        </w:rPr>
      </w:pPr>
    </w:p>
    <w:p w14:paraId="300E290A" w14:textId="13398BD8" w:rsidR="007A7EDE" w:rsidRPr="001C38CE" w:rsidRDefault="007A7EDE" w:rsidP="001C38CE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1C38CE">
        <w:rPr>
          <w:b/>
          <w:bCs/>
          <w:sz w:val="24"/>
          <w:szCs w:val="24"/>
        </w:rPr>
        <w:t>Apresentação do diagnóstico da produção docente</w:t>
      </w:r>
    </w:p>
    <w:p w14:paraId="7EF4DFC5" w14:textId="56B9682D" w:rsidR="001C38CE" w:rsidRPr="00742C45" w:rsidRDefault="00742C45" w:rsidP="001C38CE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742C45">
        <w:rPr>
          <w:bCs/>
          <w:i/>
          <w:sz w:val="24"/>
          <w:szCs w:val="24"/>
        </w:rPr>
        <w:t xml:space="preserve">O professor apresentou a tabela quantitativa da produção docente. </w:t>
      </w:r>
      <w:r w:rsidR="00571AF8">
        <w:rPr>
          <w:bCs/>
          <w:i/>
          <w:sz w:val="24"/>
          <w:szCs w:val="24"/>
        </w:rPr>
        <w:t>Foram debatidas estratégias de melhorar a produção do colegiado</w:t>
      </w:r>
      <w:r>
        <w:rPr>
          <w:bCs/>
          <w:i/>
          <w:sz w:val="24"/>
          <w:szCs w:val="24"/>
        </w:rPr>
        <w:t>.</w:t>
      </w:r>
    </w:p>
    <w:p w14:paraId="2A49351C" w14:textId="00F402E7" w:rsidR="007A7EDE" w:rsidRPr="00A52AB8" w:rsidRDefault="007A7EDE" w:rsidP="00A52AB8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A52AB8">
        <w:rPr>
          <w:b/>
          <w:bCs/>
          <w:sz w:val="24"/>
          <w:szCs w:val="24"/>
        </w:rPr>
        <w:t>Pedido do Professor Rafael Pontes para mais uma vaga de orientação.</w:t>
      </w:r>
    </w:p>
    <w:p w14:paraId="1597F08D" w14:textId="597B34E3" w:rsidR="00A52AB8" w:rsidRPr="00A52AB8" w:rsidRDefault="00A52AB8" w:rsidP="00A52AB8">
      <w:pPr>
        <w:pStyle w:val="PargrafodaLista"/>
        <w:ind w:left="106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Vai ser consultado com </w:t>
      </w:r>
      <w:r w:rsidR="00F318FD">
        <w:rPr>
          <w:bCs/>
          <w:i/>
          <w:sz w:val="24"/>
          <w:szCs w:val="24"/>
        </w:rPr>
        <w:t>o professor Robson Tavares a possibilidade da permuta da vaga de orientação.</w:t>
      </w:r>
      <w:r w:rsidR="000204B4">
        <w:rPr>
          <w:bCs/>
          <w:i/>
          <w:sz w:val="24"/>
          <w:szCs w:val="24"/>
        </w:rPr>
        <w:t xml:space="preserve"> Caso não haja acordo haverá a tentativa com o professor C</w:t>
      </w:r>
      <w:r w:rsidR="008E6835">
        <w:rPr>
          <w:bCs/>
          <w:i/>
          <w:sz w:val="24"/>
          <w:szCs w:val="24"/>
        </w:rPr>
        <w:t>la</w:t>
      </w:r>
      <w:r w:rsidR="000204B4">
        <w:rPr>
          <w:bCs/>
          <w:i/>
          <w:sz w:val="24"/>
          <w:szCs w:val="24"/>
        </w:rPr>
        <w:t>udio Marcio.</w:t>
      </w:r>
    </w:p>
    <w:p w14:paraId="584EDA31" w14:textId="558729CB" w:rsidR="00D436E1" w:rsidRDefault="007A7EDE" w:rsidP="007A7EDE">
      <w:pPr>
        <w:jc w:val="both"/>
        <w:rPr>
          <w:b/>
          <w:bCs/>
          <w:sz w:val="24"/>
          <w:szCs w:val="24"/>
        </w:rPr>
      </w:pPr>
      <w:r w:rsidRPr="007A7EDE">
        <w:rPr>
          <w:b/>
          <w:bCs/>
          <w:sz w:val="24"/>
          <w:szCs w:val="24"/>
        </w:rPr>
        <w:t>8.</w:t>
      </w:r>
      <w:r w:rsidRPr="007A7EDE">
        <w:rPr>
          <w:b/>
          <w:bCs/>
          <w:sz w:val="24"/>
          <w:szCs w:val="24"/>
        </w:rPr>
        <w:tab/>
        <w:t>o que ocorrer</w:t>
      </w:r>
    </w:p>
    <w:p w14:paraId="3ED90154" w14:textId="2B92DD3F" w:rsidR="001C38CE" w:rsidRPr="0064464B" w:rsidRDefault="001C38CE" w:rsidP="007A7EDE">
      <w:pPr>
        <w:jc w:val="both"/>
        <w:rPr>
          <w:bCs/>
          <w:i/>
          <w:sz w:val="24"/>
          <w:szCs w:val="24"/>
        </w:rPr>
      </w:pPr>
      <w:r w:rsidRPr="0064464B">
        <w:rPr>
          <w:bCs/>
          <w:i/>
          <w:sz w:val="24"/>
          <w:szCs w:val="24"/>
        </w:rPr>
        <w:t>O professor Daniel solicita um levantamento dos professores que não posuem sala que possam utilizar a sala do bloco de pós graduação como sala de apoio aos professores do PROFNIT.</w:t>
      </w:r>
    </w:p>
    <w:p w14:paraId="75DDE2B5" w14:textId="1C3B6B56" w:rsidR="00B74BF3" w:rsidRPr="0064464B" w:rsidRDefault="00B74BF3" w:rsidP="007A7EDE">
      <w:pPr>
        <w:jc w:val="both"/>
        <w:rPr>
          <w:bCs/>
          <w:i/>
          <w:sz w:val="24"/>
          <w:szCs w:val="24"/>
        </w:rPr>
      </w:pPr>
      <w:r w:rsidRPr="0064464B">
        <w:rPr>
          <w:bCs/>
          <w:i/>
          <w:sz w:val="24"/>
          <w:szCs w:val="24"/>
        </w:rPr>
        <w:t>Desligamento do discente Paulo Roberto Alves.</w:t>
      </w:r>
      <w:r w:rsidR="0064464B" w:rsidRPr="0064464B">
        <w:rPr>
          <w:bCs/>
          <w:i/>
          <w:sz w:val="24"/>
          <w:szCs w:val="24"/>
        </w:rPr>
        <w:t xml:space="preserve"> Foi deliberado a abertura do processo de desligamento.</w:t>
      </w:r>
    </w:p>
    <w:p w14:paraId="5DF23344" w14:textId="77777777" w:rsidR="0064464B" w:rsidRPr="007A7EDE" w:rsidRDefault="0064464B" w:rsidP="007A7EDE">
      <w:pPr>
        <w:jc w:val="both"/>
        <w:rPr>
          <w:b/>
          <w:bCs/>
          <w:sz w:val="24"/>
          <w:szCs w:val="24"/>
        </w:rPr>
      </w:pPr>
    </w:p>
    <w:sectPr w:rsidR="0064464B" w:rsidRPr="007A7EDE" w:rsidSect="005E337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77A7" w14:textId="77777777" w:rsidR="00D42C41" w:rsidRDefault="00D42C41" w:rsidP="005E3373">
      <w:pPr>
        <w:spacing w:after="0" w:line="240" w:lineRule="auto"/>
      </w:pPr>
      <w:r>
        <w:separator/>
      </w:r>
    </w:p>
  </w:endnote>
  <w:endnote w:type="continuationSeparator" w:id="0">
    <w:p w14:paraId="18D10B3C" w14:textId="77777777" w:rsidR="00D42C41" w:rsidRDefault="00D42C41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DCD8" w14:textId="77777777" w:rsidR="00D42C41" w:rsidRDefault="00D42C41" w:rsidP="005E3373">
      <w:pPr>
        <w:spacing w:after="0" w:line="240" w:lineRule="auto"/>
      </w:pPr>
      <w:r>
        <w:separator/>
      </w:r>
    </w:p>
  </w:footnote>
  <w:footnote w:type="continuationSeparator" w:id="0">
    <w:p w14:paraId="33E84625" w14:textId="77777777" w:rsidR="00D42C41" w:rsidRDefault="00D42C41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37B" w14:textId="77777777"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 wp14:anchorId="755CCC0E" wp14:editId="040D34FE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C5A"/>
    <w:multiLevelType w:val="hybridMultilevel"/>
    <w:tmpl w:val="5D0E6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0665D"/>
    <w:multiLevelType w:val="hybridMultilevel"/>
    <w:tmpl w:val="A17ED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07"/>
    <w:multiLevelType w:val="hybridMultilevel"/>
    <w:tmpl w:val="A8F44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52C"/>
    <w:multiLevelType w:val="hybridMultilevel"/>
    <w:tmpl w:val="B45E20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1367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32D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4EB"/>
    <w:multiLevelType w:val="hybridMultilevel"/>
    <w:tmpl w:val="220C9BDA"/>
    <w:lvl w:ilvl="0" w:tplc="738AD18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2FE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220"/>
    <w:multiLevelType w:val="hybridMultilevel"/>
    <w:tmpl w:val="58A8A4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22D58"/>
    <w:multiLevelType w:val="hybridMultilevel"/>
    <w:tmpl w:val="F146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DEA5A3A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2B91"/>
    <w:multiLevelType w:val="hybridMultilevel"/>
    <w:tmpl w:val="08BA067E"/>
    <w:lvl w:ilvl="0" w:tplc="B8B21D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6A4D"/>
    <w:multiLevelType w:val="hybridMultilevel"/>
    <w:tmpl w:val="D8FCE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29"/>
    <w:rsid w:val="000204B4"/>
    <w:rsid w:val="000208D6"/>
    <w:rsid w:val="0003021E"/>
    <w:rsid w:val="0008118F"/>
    <w:rsid w:val="000A4CBB"/>
    <w:rsid w:val="000B7C28"/>
    <w:rsid w:val="000F1EEE"/>
    <w:rsid w:val="001543A9"/>
    <w:rsid w:val="00160BB3"/>
    <w:rsid w:val="00195C0E"/>
    <w:rsid w:val="001B007F"/>
    <w:rsid w:val="001C38CE"/>
    <w:rsid w:val="001E4CDF"/>
    <w:rsid w:val="001F56AD"/>
    <w:rsid w:val="0021114E"/>
    <w:rsid w:val="0021685A"/>
    <w:rsid w:val="00226DAF"/>
    <w:rsid w:val="00233C96"/>
    <w:rsid w:val="00252185"/>
    <w:rsid w:val="00275D04"/>
    <w:rsid w:val="002C1AD7"/>
    <w:rsid w:val="002C3BB3"/>
    <w:rsid w:val="003350F1"/>
    <w:rsid w:val="0033749F"/>
    <w:rsid w:val="00344323"/>
    <w:rsid w:val="00373889"/>
    <w:rsid w:val="004772D3"/>
    <w:rsid w:val="004D430D"/>
    <w:rsid w:val="005677D8"/>
    <w:rsid w:val="00571AF8"/>
    <w:rsid w:val="0059509C"/>
    <w:rsid w:val="005D27CE"/>
    <w:rsid w:val="005E3373"/>
    <w:rsid w:val="0064464B"/>
    <w:rsid w:val="00687335"/>
    <w:rsid w:val="006C37DF"/>
    <w:rsid w:val="007009CF"/>
    <w:rsid w:val="0072461D"/>
    <w:rsid w:val="00734C7D"/>
    <w:rsid w:val="00742C45"/>
    <w:rsid w:val="0075164B"/>
    <w:rsid w:val="00763580"/>
    <w:rsid w:val="0079357E"/>
    <w:rsid w:val="007948A9"/>
    <w:rsid w:val="007A7EDE"/>
    <w:rsid w:val="007D0B1A"/>
    <w:rsid w:val="007D3F9E"/>
    <w:rsid w:val="007F502B"/>
    <w:rsid w:val="00803547"/>
    <w:rsid w:val="00861FC6"/>
    <w:rsid w:val="008B44B1"/>
    <w:rsid w:val="008B7470"/>
    <w:rsid w:val="008C11E2"/>
    <w:rsid w:val="008E6835"/>
    <w:rsid w:val="00906168"/>
    <w:rsid w:val="00942844"/>
    <w:rsid w:val="00943C90"/>
    <w:rsid w:val="00984305"/>
    <w:rsid w:val="009A19E7"/>
    <w:rsid w:val="009E433E"/>
    <w:rsid w:val="00A06E88"/>
    <w:rsid w:val="00A52AB8"/>
    <w:rsid w:val="00A700E0"/>
    <w:rsid w:val="00A777D2"/>
    <w:rsid w:val="00AE122D"/>
    <w:rsid w:val="00AE4D99"/>
    <w:rsid w:val="00B02D29"/>
    <w:rsid w:val="00B11B0E"/>
    <w:rsid w:val="00B214E1"/>
    <w:rsid w:val="00B43A75"/>
    <w:rsid w:val="00B74BF3"/>
    <w:rsid w:val="00B87515"/>
    <w:rsid w:val="00BC5AD3"/>
    <w:rsid w:val="00BE5826"/>
    <w:rsid w:val="00C0413A"/>
    <w:rsid w:val="00C305BD"/>
    <w:rsid w:val="00C34D19"/>
    <w:rsid w:val="00C638E9"/>
    <w:rsid w:val="00C65B45"/>
    <w:rsid w:val="00C86B18"/>
    <w:rsid w:val="00C87650"/>
    <w:rsid w:val="00C90935"/>
    <w:rsid w:val="00CA0AFF"/>
    <w:rsid w:val="00CA6547"/>
    <w:rsid w:val="00CA78BC"/>
    <w:rsid w:val="00CC0484"/>
    <w:rsid w:val="00CF4033"/>
    <w:rsid w:val="00CF4E3F"/>
    <w:rsid w:val="00D36358"/>
    <w:rsid w:val="00D42C41"/>
    <w:rsid w:val="00D436E1"/>
    <w:rsid w:val="00D4398D"/>
    <w:rsid w:val="00D52BD7"/>
    <w:rsid w:val="00D54421"/>
    <w:rsid w:val="00D60CED"/>
    <w:rsid w:val="00D6357E"/>
    <w:rsid w:val="00D72BF4"/>
    <w:rsid w:val="00D73CF2"/>
    <w:rsid w:val="00D85760"/>
    <w:rsid w:val="00DA6D68"/>
    <w:rsid w:val="00DC76B5"/>
    <w:rsid w:val="00DD2624"/>
    <w:rsid w:val="00E13829"/>
    <w:rsid w:val="00E568B1"/>
    <w:rsid w:val="00E8254E"/>
    <w:rsid w:val="00E92C0E"/>
    <w:rsid w:val="00EA0A97"/>
    <w:rsid w:val="00ED28D5"/>
    <w:rsid w:val="00ED79B3"/>
    <w:rsid w:val="00F01BFC"/>
    <w:rsid w:val="00F1309D"/>
    <w:rsid w:val="00F149E8"/>
    <w:rsid w:val="00F318FD"/>
    <w:rsid w:val="00F33842"/>
    <w:rsid w:val="00F35449"/>
    <w:rsid w:val="00F358AC"/>
    <w:rsid w:val="00F62D6D"/>
    <w:rsid w:val="00FA375C"/>
    <w:rsid w:val="00FB5EA7"/>
    <w:rsid w:val="00FB6B31"/>
    <w:rsid w:val="00FC4563"/>
    <w:rsid w:val="00FD42BD"/>
    <w:rsid w:val="00FE2C9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3E49"/>
  <w15:docId w15:val="{25F7AD1B-FD04-4C4B-811A-09440E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6168"/>
    <w:pPr>
      <w:ind w:left="720"/>
      <w:contextualSpacing/>
    </w:pPr>
  </w:style>
  <w:style w:type="table" w:styleId="Tabelacomgrade">
    <w:name w:val="Table Grid"/>
    <w:basedOn w:val="Tabelanormal"/>
    <w:uiPriority w:val="59"/>
    <w:rsid w:val="007F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WERBESTON DOUGLAS DE OLIVEIRA</cp:lastModifiedBy>
  <cp:revision>3</cp:revision>
  <cp:lastPrinted>2018-09-29T11:32:00Z</cp:lastPrinted>
  <dcterms:created xsi:type="dcterms:W3CDTF">2020-04-20T13:43:00Z</dcterms:created>
  <dcterms:modified xsi:type="dcterms:W3CDTF">2020-04-20T13:43:00Z</dcterms:modified>
</cp:coreProperties>
</file>