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bCs w:val="1"/>
          <w:sz w:val="22"/>
          <w:szCs w:val="22"/>
        </w:rPr>
      </w:pPr>
      <w:bookmarkStart w:colFirst="0" w:colLast="0" w:name="_2be5h18747ze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EDITAL DE RENOVAÇÃO DE PRAZO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40" w:lineRule="auto"/>
        <w:jc w:val="center"/>
        <w:rPr>
          <w:b w:val="1"/>
          <w:bCs w:val="1"/>
          <w:sz w:val="22"/>
          <w:szCs w:val="22"/>
        </w:rPr>
      </w:pPr>
      <w:bookmarkStart w:colFirst="0" w:colLast="0" w:name="_mkrgq6trrgh2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PROJETO DE EXTENSÃO E SOCIAL – PROSEAR/UNIFAP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="240" w:lineRule="auto"/>
        <w:jc w:val="center"/>
        <w:rPr>
          <w:b w:val="1"/>
          <w:bCs w:val="1"/>
          <w:color w:val="000000"/>
          <w:sz w:val="22"/>
          <w:szCs w:val="22"/>
        </w:rPr>
      </w:pPr>
      <w:bookmarkStart w:colFirst="0" w:colLast="0" w:name="_uy3vporae3dt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RENOVAÇÃO DO PRAZO DE INSCRIÇÃO PARA MONITORES/INSTRUTORES VOLUNTÁRIOS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 Coordenação do Projeto de Extensão e Social da Universidade Federal do Amapá – </w:t>
      </w:r>
      <w:r w:rsidDel="00000000" w:rsidR="00000000" w:rsidRPr="00000000">
        <w:rPr>
          <w:b w:val="1"/>
          <w:bCs w:val="1"/>
          <w:rtl w:val="0"/>
        </w:rPr>
        <w:t xml:space="preserve">PROSEAR (Ensinar e Aprender)</w:t>
      </w:r>
      <w:r w:rsidDel="00000000" w:rsidR="00000000" w:rsidRPr="00000000">
        <w:rPr>
          <w:rtl w:val="0"/>
        </w:rPr>
        <w:t xml:space="preserve">, devidamente registrado junto à PROEAC/DEX, no uso de suas atribuições legais,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FUNDAMENTAÇÃO LEGAL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left="72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Renovação do prazo de inscrição para credenciamento de monitores e instrutores voluntários do Projeto de Extensão e Social PROSEAR/UNIFAP, com fundamento no </w:t>
      </w:r>
      <w:hyperlink r:id="rId6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art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 </w:t>
      </w:r>
      <w:hyperlink r:id="rId7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207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da </w:t>
      </w:r>
      <w:hyperlink r:id="rId8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Constituição Federal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; </w:t>
      </w:r>
      <w:hyperlink r:id="rId9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art.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hyperlink r:id="rId10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43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, </w:t>
      </w:r>
      <w:hyperlink r:id="rId11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VII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da </w:t>
      </w:r>
      <w:hyperlink r:id="rId12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Lei nº 9.394/1996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(LDB); </w:t>
      </w:r>
      <w:hyperlink r:id="rId13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Resolução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hyperlink r:id="rId14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CNE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/</w:t>
      </w:r>
      <w:hyperlink r:id="rId15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CES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/</w:t>
      </w:r>
      <w:hyperlink r:id="rId16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MEC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nº </w:t>
      </w:r>
      <w:hyperlink r:id="rId17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07/2018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; </w:t>
      </w:r>
      <w:hyperlink r:id="rId18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art. 20 da Resolução nº 09/2006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– </w:t>
      </w:r>
      <w:hyperlink r:id="rId19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CONSU/UNIFAP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; </w:t>
      </w:r>
      <w:hyperlink r:id="rId20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Art. 32 da Resolução nº 22/2025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– CONSU/UNIFAP; </w:t>
      </w:r>
      <w:hyperlink r:id="rId21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Lei nº 9.608/1998 (Serviço Voluntário)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; Lei nº 13.726/2018; </w:t>
      </w:r>
      <w:hyperlink r:id="rId22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Edital nº 181/2023 – PROEAC/DEX/PROSEAR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, publicado no Diário Oficial da União, sexta-feira, 26 de maio de 2023, Ano CLXI, nº 100, Seção 3, ISSN 1677-7069; e Processo nº </w:t>
      </w:r>
      <w:hyperlink r:id="rId23">
        <w:r w:rsidDel="00000000" w:rsidR="00000000" w:rsidRPr="00000000">
          <w:rPr>
            <w:i w:val="1"/>
            <w:iCs w:val="1"/>
            <w:color w:val="1155cc"/>
            <w:sz w:val="20"/>
            <w:szCs w:val="20"/>
            <w:rtl w:val="0"/>
          </w:rPr>
          <w:t xml:space="preserve">23125.007149/2023-11</w:t>
        </w:r>
      </w:hyperlink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TORNA PÚBLICA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RENOVAÇÃO DO PRAZO DE INSCRIÇÃO</w:t>
      </w:r>
      <w:r w:rsidDel="00000000" w:rsidR="00000000" w:rsidRPr="00000000">
        <w:rPr>
          <w:rtl w:val="0"/>
        </w:rPr>
        <w:t xml:space="preserve"> para credenciamento de monitores/instrutores voluntários no âmbito do Projeto de Extensão PROSEAR.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NOVO PERÍODO DE INSCRIÇÃO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 de fevereiro de 2026 a 19 de fevereiro de 2027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 presente renovação ocorre em razão da continuidade e renovação institucional do projeto de extensão junto à Universidade Federal do Amapá.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FINALIDADE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Credenciamento de voluntários para atuação como: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Monitores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Instrutores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Colaboradores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Nas ações: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Cursinho Pré-ENEM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Preparatório para Concurso Público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Cursos Profissionalizantes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Ensino Não Forma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Atendimento social de cunho extensionista com a comunidade interna-externa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LOCAIS DE EXECUÇÃO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Mantêm-se os polos previstos no edital originário: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Macapá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Mazagão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Ferreira Gomes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Cutias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Itaubal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Tartarugalzinho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Porto Grande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Condicionados à formalização de convênio ou termo de cooperação técnica.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DOCUMENTAÇÃO EXIGIDA</w:t>
      </w:r>
    </w:p>
    <w:p w:rsidR="00000000" w:rsidDel="00000000" w:rsidP="00000000" w:rsidRDefault="00000000" w:rsidRPr="00000000" w14:paraId="0000002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Conforme Edital nº 181/2023, publicado no DOU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Documento oficial com foto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Comprovação de formação ou 70% do curso, exceto</w:t>
      </w:r>
      <w:r w:rsidDel="00000000" w:rsidR="00000000" w:rsidRPr="00000000">
        <w:rPr>
          <w:b w:val="1"/>
          <w:bCs w:val="1"/>
          <w:u w:val="single"/>
          <w:rtl w:val="0"/>
        </w:rPr>
        <w:t xml:space="preserve">, para aluno de graduação</w:t>
      </w:r>
      <w:r w:rsidDel="00000000" w:rsidR="00000000" w:rsidRPr="00000000">
        <w:rPr>
          <w:rtl w:val="0"/>
        </w:rPr>
        <w:t xml:space="preserve"> comprovação de matrícula oportunizando os alunos no acesso às ações de extensão.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Certidão Criminal de Nada Consta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Comprovante de residência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NATUREZA JURÍDICA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Nos termos da Lei nº 9.608/1998: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Não gera vínculo empregatício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Não configura obrigação trabalhista ou previdenciária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Trata-se de atividade voluntária</w:t>
      </w:r>
    </w:p>
    <w:p w:rsidR="00000000" w:rsidDel="00000000" w:rsidP="00000000" w:rsidRDefault="00000000" w:rsidRPr="00000000" w14:paraId="0000002C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DISPOSIÇÃO FINAL</w:t>
      </w:r>
    </w:p>
    <w:p w:rsidR="00000000" w:rsidDel="00000000" w:rsidP="00000000" w:rsidRDefault="00000000" w:rsidRPr="00000000" w14:paraId="0000002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Mantêm-se inalteradas as demais disposições constantes no Edital nº 181/2023 – PROEAC/DEX/PROSEAR.</w:t>
      </w:r>
    </w:p>
    <w:p w:rsidR="00000000" w:rsidDel="00000000" w:rsidP="00000000" w:rsidRDefault="00000000" w:rsidRPr="00000000" w14:paraId="0000002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Esta renovação entra em vigor na data de sua publicação institucional.</w:t>
      </w:r>
    </w:p>
    <w:p w:rsidR="00000000" w:rsidDel="00000000" w:rsidP="00000000" w:rsidRDefault="00000000" w:rsidRPr="00000000" w14:paraId="0000002F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40" w:lineRule="auto"/>
        <w:jc w:val="right"/>
        <w:rPr/>
      </w:pPr>
      <w:r w:rsidDel="00000000" w:rsidR="00000000" w:rsidRPr="00000000">
        <w:rPr>
          <w:rtl w:val="0"/>
        </w:rPr>
        <w:t xml:space="preserve">Macapá-AP, 19 de fevereiro de 2026.</w:t>
      </w:r>
    </w:p>
    <w:p w:rsidR="00000000" w:rsidDel="00000000" w:rsidP="00000000" w:rsidRDefault="00000000" w:rsidRPr="00000000" w14:paraId="00000031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Marcos Silva Albuquerque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Coordenador do Projeto PROSEAR</w:t>
        <w:br w:type="textWrapping"/>
        <w:t xml:space="preserve">DEX/PROEAC – UNIFAP</w:t>
      </w:r>
    </w:p>
    <w:p w:rsidR="00000000" w:rsidDel="00000000" w:rsidP="00000000" w:rsidRDefault="00000000" w:rsidRPr="00000000" w14:paraId="00000033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ind w:hanging="1133.8582677165355"/>
      <w:jc w:val="lef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Obs.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color w:val="222222"/>
        <w:sz w:val="20"/>
        <w:szCs w:val="20"/>
        <w:rtl w:val="0"/>
      </w:rPr>
      <w:t xml:space="preserve">A UNIFAP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  <w:u w:val="single"/>
        <w:rtl w:val="0"/>
      </w:rPr>
      <w:t xml:space="preserve">não</w:t>
    </w:r>
    <w:r w:rsidDel="00000000" w:rsidR="00000000" w:rsidRPr="00000000">
      <w:rPr>
        <w:color w:val="ff0000"/>
        <w:sz w:val="20"/>
        <w:szCs w:val="20"/>
        <w:rtl w:val="0"/>
      </w:rPr>
      <w:t xml:space="preserve"> </w:t>
    </w:r>
    <w:r w:rsidDel="00000000" w:rsidR="00000000" w:rsidRPr="00000000">
      <w:rPr>
        <w:color w:val="222222"/>
        <w:sz w:val="20"/>
        <w:szCs w:val="20"/>
        <w:rtl w:val="0"/>
      </w:rPr>
      <w:t xml:space="preserve">possui WhatsApp institucional</w:t>
    </w:r>
    <w:r w:rsidDel="00000000" w:rsidR="00000000" w:rsidRPr="00000000">
      <w:rPr>
        <w:b w:val="1"/>
        <w:bCs w:val="1"/>
        <w:color w:val="222222"/>
        <w:sz w:val="20"/>
        <w:szCs w:val="20"/>
        <w:rtl w:val="0"/>
      </w:rPr>
      <w:t xml:space="preserve">.</w:t>
    </w:r>
    <w:r w:rsidDel="00000000" w:rsidR="00000000" w:rsidRPr="00000000">
      <w:rPr>
        <w:b w:val="1"/>
        <w:bCs w:val="1"/>
        <w:color w:val="cc0000"/>
        <w:sz w:val="20"/>
        <w:szCs w:val="20"/>
        <w:rtl w:val="0"/>
      </w:rPr>
      <w:t xml:space="preserve"> 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| </w:t>
    </w:r>
    <w:r w:rsidDel="00000000" w:rsidR="00000000" w:rsidRPr="00000000">
      <w:rPr>
        <w:sz w:val="20"/>
        <w:szCs w:val="20"/>
        <w:rtl w:val="0"/>
      </w:rPr>
      <w:t xml:space="preserve">☎ Fone:  (96) 93300-9614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| </w:t>
    </w:r>
    <w:r w:rsidDel="00000000" w:rsidR="00000000" w:rsidRPr="00000000">
      <w:rPr>
        <w:sz w:val="20"/>
        <w:szCs w:val="20"/>
        <w:rtl w:val="0"/>
      </w:rPr>
      <w:t xml:space="preserve">E-mail: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msa@unifap.br</w:t>
      </w:r>
    </w:hyperlink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|  </w:t>
    </w:r>
    <w:r w:rsidDel="00000000" w:rsidR="00000000" w:rsidRPr="00000000">
      <w:rPr>
        <w:sz w:val="20"/>
        <w:szCs w:val="20"/>
        <w:rtl w:val="0"/>
      </w:rPr>
      <w:t xml:space="preserve">Fls.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-1276349</wp:posOffset>
          </wp:positionH>
          <wp:positionV relativeFrom="paragraph">
            <wp:posOffset>209550</wp:posOffset>
          </wp:positionV>
          <wp:extent cx="7821113" cy="5810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1113" cy="581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2601412</wp:posOffset>
          </wp:positionH>
          <wp:positionV relativeFrom="paragraph">
            <wp:posOffset>-323849</wp:posOffset>
          </wp:positionV>
          <wp:extent cx="3162300" cy="96678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62300" cy="9667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-323849</wp:posOffset>
          </wp:positionV>
          <wp:extent cx="2314575" cy="101441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4575" cy="10144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line="240" w:lineRule="auto"/>
      <w:rPr>
        <w:color w:val="3d85c6"/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line="240" w:lineRule="auto"/>
      <w:rPr>
        <w:color w:val="3d85c6"/>
        <w:sz w:val="18"/>
        <w:szCs w:val="1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line="240" w:lineRule="auto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240" w:lineRule="auto"/>
      <w:rPr/>
    </w:pPr>
    <w:r w:rsidDel="00000000" w:rsidR="00000000" w:rsidRPr="00000000">
      <w:rPr>
        <w:b w:val="1"/>
        <w:bCs w:val="1"/>
        <w:i w:val="1"/>
        <w:iCs w:val="1"/>
        <w:sz w:val="18"/>
        <w:szCs w:val="18"/>
        <w:rtl w:val="0"/>
      </w:rPr>
      <w:t xml:space="preserve">End.</w:t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: Rodovia Josmar Chaves Pinto - KM 02, 68903-419 CNPJ: 34.868.257/0001-81, Macapá/Amapá - Brasil.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CONSELHEIRO UNIVERSITÁRIO </w:t>
    </w:r>
  </w:p>
  <w:p w:rsidR="00000000" w:rsidDel="00000000" w:rsidP="00000000" w:rsidRDefault="00000000" w:rsidRPr="00000000" w14:paraId="0000003B">
    <w:pPr>
      <w:spacing w:line="240" w:lineRule="auto"/>
      <w:rPr>
        <w:b w:val="1"/>
        <w:bCs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2.unifap.br/proeac/post/7705/" TargetMode="External"/><Relationship Id="rId22" Type="http://schemas.openxmlformats.org/officeDocument/2006/relationships/hyperlink" Target="https://www2.unifap.br/prosear/arquivo_doc_coord/1502" TargetMode="External"/><Relationship Id="rId21" Type="http://schemas.openxmlformats.org/officeDocument/2006/relationships/hyperlink" Target="https://www.planalto.gov.br/ccivil_03/leis/l9608.htm" TargetMode="External"/><Relationship Id="rId24" Type="http://schemas.openxmlformats.org/officeDocument/2006/relationships/header" Target="header1.xml"/><Relationship Id="rId23" Type="http://schemas.openxmlformats.org/officeDocument/2006/relationships/hyperlink" Target="https://sipac.unifap.br/public/jsp/documentos/documento_visualizacao.jsf?idDoc=90000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te.cfp.org.br/wp-content/uploads/2008/08/lei_1996_9394.pdf" TargetMode="Externa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pactoensinomedio.mec.gov.br/images/pdf/constituicao_educacao.pdf" TargetMode="External"/><Relationship Id="rId7" Type="http://schemas.openxmlformats.org/officeDocument/2006/relationships/hyperlink" Target="https://www.jusbrasil.com.br/topicos/10650167/artigo-207-da-constituicao-federal-de-1988" TargetMode="External"/><Relationship Id="rId8" Type="http://schemas.openxmlformats.org/officeDocument/2006/relationships/hyperlink" Target="https://www.planalto.gov.br/ccivil_03/Constituicao/Pec/msg1078-951015.htm" TargetMode="External"/><Relationship Id="rId11" Type="http://schemas.openxmlformats.org/officeDocument/2006/relationships/hyperlink" Target="https://modeloinicial.com.br/lei/L-9394-1996/lei-diretrizes-bases-educacao-nacional/art-43" TargetMode="External"/><Relationship Id="rId10" Type="http://schemas.openxmlformats.org/officeDocument/2006/relationships/hyperlink" Target="https://www.jusbrasil.com.br/topicos/11689199/artigo-43-da-lei-n-9394-de-20-de-dezembro-de-1996" TargetMode="External"/><Relationship Id="rId13" Type="http://schemas.openxmlformats.org/officeDocument/2006/relationships/hyperlink" Target="https://www.in.gov.br/materia/-/asset_publisher/Kujrw0TZC2Mb/content/id/55877808" TargetMode="External"/><Relationship Id="rId12" Type="http://schemas.openxmlformats.org/officeDocument/2006/relationships/hyperlink" Target="https://www.planalto.gov.br/ccivil_03/leis/l9394.htm" TargetMode="External"/><Relationship Id="rId15" Type="http://schemas.openxmlformats.org/officeDocument/2006/relationships/hyperlink" Target="https://pesquisa.in.gov.br/imprensa/jsp/visualiza/index.jsp?data=19/12/2018&amp;jornal=515&amp;pagina=50&amp;totalArquivos=197" TargetMode="External"/><Relationship Id="rId14" Type="http://schemas.openxmlformats.org/officeDocument/2006/relationships/hyperlink" Target="https://pesquisa.in.gov.br/imprensa/jsp/visualiza/index.jsp?data=19/12/2018&amp;jornal=515&amp;pagina=49" TargetMode="External"/><Relationship Id="rId17" Type="http://schemas.openxmlformats.org/officeDocument/2006/relationships/hyperlink" Target="https://portal.mec.gov.br/index.php?option=com_docman&amp;view=download&amp;alias=105102-rces007-18&amp;Itemid=30192" TargetMode="External"/><Relationship Id="rId16" Type="http://schemas.openxmlformats.org/officeDocument/2006/relationships/hyperlink" Target="https://pesquisa.in.gov.br/imprensa/jsp/visualiza/index.jsp?data=19/12/2018&amp;jornal=515&amp;pagina=1&amp;totalArquivos=197" TargetMode="External"/><Relationship Id="rId19" Type="http://schemas.openxmlformats.org/officeDocument/2006/relationships/hyperlink" Target="https://www2.unifap.br/dex/resolucao-09-2006/" TargetMode="External"/><Relationship Id="rId18" Type="http://schemas.openxmlformats.org/officeDocument/2006/relationships/hyperlink" Target="https://www2.unifap.br/consu/?p=390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sa@unifap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